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9F3" w:rsidRPr="000B4003" w:rsidRDefault="007F3CDC" w:rsidP="00C509F3">
      <w:pPr>
        <w:jc w:val="center"/>
        <w:rPr>
          <w:rFonts w:ascii="Noto Sans" w:hAnsi="Noto Sans" w:cs="Noto Sans"/>
          <w:b/>
          <w:color w:val="621333"/>
          <w:sz w:val="28"/>
          <w:szCs w:val="28"/>
        </w:rPr>
      </w:pPr>
      <w:r w:rsidRPr="007F3CDC">
        <w:rPr>
          <w:rFonts w:ascii="Noto Sans" w:hAnsi="Noto Sans" w:cs="Noto Sans"/>
          <w:b/>
          <w:color w:val="621333"/>
          <w:sz w:val="28"/>
          <w:szCs w:val="28"/>
        </w:rPr>
        <w:t>1.</w:t>
      </w:r>
      <w:r w:rsidRPr="007F3CDC">
        <w:rPr>
          <w:rFonts w:ascii="Noto Sans" w:hAnsi="Noto Sans" w:cs="Noto Sans"/>
          <w:b/>
          <w:color w:val="621333"/>
          <w:sz w:val="28"/>
          <w:szCs w:val="28"/>
        </w:rPr>
        <w:tab/>
        <w:t>EL CICLO HACENDARIO Y EL SISTEMA DE CONTABILIDAD GUBERNAMENTAL</w:t>
      </w:r>
    </w:p>
    <w:p w:rsidR="003F7C52" w:rsidRDefault="003F7C52" w:rsidP="00ED1D2B">
      <w:pPr>
        <w:jc w:val="both"/>
      </w:pPr>
    </w:p>
    <w:p w:rsidR="00307EFB" w:rsidRPr="00307EFB" w:rsidRDefault="00307EFB" w:rsidP="00307EFB">
      <w:pPr>
        <w:jc w:val="both"/>
        <w:rPr>
          <w:rFonts w:ascii="Noto Sans" w:hAnsi="Noto Sans" w:cs="Noto Sans"/>
          <w:b/>
          <w:color w:val="621333"/>
          <w:sz w:val="28"/>
          <w:szCs w:val="28"/>
        </w:rPr>
      </w:pPr>
      <w:r w:rsidRPr="00307EFB">
        <w:rPr>
          <w:rFonts w:ascii="Noto Sans" w:hAnsi="Noto Sans" w:cs="Noto Sans"/>
          <w:b/>
          <w:color w:val="621333"/>
          <w:sz w:val="28"/>
          <w:szCs w:val="28"/>
        </w:rPr>
        <w:t>B. EL SISTEMA DE CONTABILIDAD GUBERNAMENTAL (SCG).</w:t>
      </w:r>
    </w:p>
    <w:p w:rsidR="007F3CDC" w:rsidRDefault="00307EFB" w:rsidP="00307EFB">
      <w:pPr>
        <w:jc w:val="both"/>
        <w:rPr>
          <w:rFonts w:ascii="Noto Sans" w:hAnsi="Noto Sans" w:cs="Noto Sans"/>
          <w:b/>
          <w:color w:val="621333"/>
          <w:sz w:val="28"/>
          <w:szCs w:val="28"/>
        </w:rPr>
      </w:pPr>
      <w:r w:rsidRPr="00307EFB">
        <w:rPr>
          <w:rFonts w:ascii="Noto Sans" w:hAnsi="Noto Sans" w:cs="Noto Sans"/>
          <w:b/>
          <w:color w:val="621333"/>
          <w:sz w:val="28"/>
          <w:szCs w:val="28"/>
        </w:rPr>
        <w:t>B.1 ANTECEDENTES SOBRE LA CONTABILIDAD GUBERNAMENTAL.</w:t>
      </w:r>
    </w:p>
    <w:p w:rsidR="007F3CDC" w:rsidRPr="007F3CDC" w:rsidRDefault="007F3CDC" w:rsidP="007F3CDC">
      <w:pPr>
        <w:jc w:val="both"/>
        <w:rPr>
          <w:rFonts w:ascii="Noto Sans Light" w:hAnsi="Noto Sans Light" w:cs="Noto Sans Light"/>
          <w:sz w:val="24"/>
          <w:szCs w:val="24"/>
        </w:rPr>
      </w:pPr>
    </w:p>
    <w:p w:rsidR="00307EFB" w:rsidRDefault="00307EFB" w:rsidP="00307EFB">
      <w:pPr>
        <w:jc w:val="both"/>
        <w:rPr>
          <w:rFonts w:ascii="Noto Sans Light" w:hAnsi="Noto Sans Light" w:cs="Noto Sans Light"/>
          <w:sz w:val="24"/>
          <w:szCs w:val="24"/>
        </w:rPr>
      </w:pPr>
      <w:r w:rsidRPr="00307EFB">
        <w:rPr>
          <w:rFonts w:ascii="Noto Sans Light" w:hAnsi="Noto Sans Light" w:cs="Noto Sans Light"/>
          <w:sz w:val="24"/>
          <w:szCs w:val="24"/>
        </w:rPr>
        <w:t>La Contabilidad Gubernamental es una rama de la Teoría General de la Contabilidad que se aplica a las organizaciones gubernamentales, cuya actividad está regulada por un marco constitucional, una base legal y normas técnicas que la caracterizan y la hacen distinta a la que rige para el sector privado.</w:t>
      </w:r>
    </w:p>
    <w:p w:rsidR="00307EFB" w:rsidRPr="00307EFB" w:rsidRDefault="00307EFB" w:rsidP="00307EFB">
      <w:pPr>
        <w:jc w:val="both"/>
        <w:rPr>
          <w:rFonts w:ascii="Noto Sans Light" w:hAnsi="Noto Sans Light" w:cs="Noto Sans Light"/>
          <w:sz w:val="24"/>
          <w:szCs w:val="24"/>
        </w:rPr>
      </w:pPr>
    </w:p>
    <w:p w:rsidR="00307EFB" w:rsidRDefault="00307EFB" w:rsidP="00307EFB">
      <w:pPr>
        <w:jc w:val="both"/>
        <w:rPr>
          <w:rFonts w:ascii="Noto Sans Light" w:hAnsi="Noto Sans Light" w:cs="Noto Sans Light"/>
          <w:sz w:val="24"/>
          <w:szCs w:val="24"/>
        </w:rPr>
      </w:pPr>
      <w:r w:rsidRPr="00307EFB">
        <w:rPr>
          <w:rFonts w:ascii="Noto Sans Light" w:hAnsi="Noto Sans Light" w:cs="Noto Sans Light"/>
          <w:sz w:val="24"/>
          <w:szCs w:val="24"/>
        </w:rPr>
        <w:t>Entre las principales diferencias conceptuales, normativas y técnicas de la contabilidad gubernamental y de la contabilidad del sector privado, se mencionan las siguientes:</w:t>
      </w:r>
    </w:p>
    <w:p w:rsidR="00307EFB" w:rsidRPr="00307EFB" w:rsidRDefault="00307EFB" w:rsidP="00307EFB">
      <w:pPr>
        <w:jc w:val="both"/>
        <w:rPr>
          <w:rFonts w:ascii="Noto Sans Light" w:hAnsi="Noto Sans Light" w:cs="Noto Sans Light"/>
          <w:sz w:val="24"/>
          <w:szCs w:val="24"/>
        </w:rPr>
      </w:pPr>
    </w:p>
    <w:p w:rsidR="00307EFB" w:rsidRPr="00307EFB" w:rsidRDefault="00307EFB" w:rsidP="00307EFB">
      <w:pPr>
        <w:pStyle w:val="Prrafodelista"/>
        <w:numPr>
          <w:ilvl w:val="0"/>
          <w:numId w:val="15"/>
        </w:numPr>
        <w:jc w:val="both"/>
        <w:rPr>
          <w:rFonts w:ascii="Noto Sans Light" w:hAnsi="Noto Sans Light" w:cs="Noto Sans Light"/>
          <w:sz w:val="24"/>
          <w:szCs w:val="24"/>
        </w:rPr>
      </w:pPr>
      <w:r w:rsidRPr="00307EFB">
        <w:rPr>
          <w:rFonts w:ascii="Noto Sans Light" w:hAnsi="Noto Sans Light" w:cs="Noto Sans Light"/>
          <w:sz w:val="24"/>
          <w:szCs w:val="24"/>
        </w:rPr>
        <w:t xml:space="preserve">El objeto de la contabilidad gubernamental es contribuir, entre otros propósitos, a la gestión y economía de la hacienda pública; en tanto que, la contabilidad del sector privado está orientada a la economía de la organización; </w:t>
      </w:r>
    </w:p>
    <w:p w:rsidR="00307EFB" w:rsidRPr="00307EFB" w:rsidRDefault="00307EFB" w:rsidP="00307EFB">
      <w:pPr>
        <w:jc w:val="both"/>
        <w:rPr>
          <w:rFonts w:ascii="Noto Sans Light" w:hAnsi="Noto Sans Light" w:cs="Noto Sans Light"/>
          <w:sz w:val="24"/>
          <w:szCs w:val="24"/>
        </w:rPr>
      </w:pPr>
    </w:p>
    <w:p w:rsidR="00307EFB" w:rsidRPr="00307EFB" w:rsidRDefault="00307EFB" w:rsidP="00307EFB">
      <w:pPr>
        <w:pStyle w:val="Prrafodelista"/>
        <w:numPr>
          <w:ilvl w:val="0"/>
          <w:numId w:val="15"/>
        </w:numPr>
        <w:jc w:val="both"/>
        <w:rPr>
          <w:rFonts w:ascii="Noto Sans Light" w:hAnsi="Noto Sans Light" w:cs="Noto Sans Light"/>
          <w:sz w:val="24"/>
          <w:szCs w:val="24"/>
        </w:rPr>
      </w:pPr>
      <w:r w:rsidRPr="00307EFB">
        <w:rPr>
          <w:rFonts w:ascii="Noto Sans Light" w:hAnsi="Noto Sans Light" w:cs="Noto Sans Light"/>
          <w:sz w:val="24"/>
          <w:szCs w:val="24"/>
        </w:rPr>
        <w:t xml:space="preserve">La información financiera del sector público es presentada con estricto apego al cumplimiento de la Ley General de Contabilidad Gubernamental (LGCG) y, en general, sus estados financieros se orientan a informar si la ejecución del presupuesto y de otros movimientos financieros se realizaron dentro de los parámetros legales y técnicos autorizados; mientras que los de la contabilidad empresarial informan sobre la marcha del negocio, su solvencia, y la capacidad de resarcir y retribuir a los propietarios su inversión a través de reembolsos o rendimientos. </w:t>
      </w:r>
    </w:p>
    <w:p w:rsidR="00307EFB" w:rsidRPr="00307EFB" w:rsidRDefault="00307EFB" w:rsidP="00307EFB">
      <w:pPr>
        <w:jc w:val="both"/>
        <w:rPr>
          <w:rFonts w:ascii="Noto Sans Light" w:hAnsi="Noto Sans Light" w:cs="Noto Sans Light"/>
          <w:sz w:val="24"/>
          <w:szCs w:val="24"/>
        </w:rPr>
      </w:pPr>
    </w:p>
    <w:p w:rsidR="00307EFB" w:rsidRPr="00307EFB" w:rsidRDefault="00307EFB" w:rsidP="00307EFB">
      <w:pPr>
        <w:pStyle w:val="Prrafodelista"/>
        <w:numPr>
          <w:ilvl w:val="0"/>
          <w:numId w:val="15"/>
        </w:numPr>
        <w:jc w:val="both"/>
        <w:rPr>
          <w:rFonts w:ascii="Noto Sans Light" w:hAnsi="Noto Sans Light" w:cs="Noto Sans Light"/>
          <w:sz w:val="24"/>
          <w:szCs w:val="24"/>
        </w:rPr>
      </w:pPr>
      <w:r w:rsidRPr="00307EFB">
        <w:rPr>
          <w:rFonts w:ascii="Noto Sans Light" w:hAnsi="Noto Sans Light" w:cs="Noto Sans Light"/>
          <w:sz w:val="24"/>
          <w:szCs w:val="24"/>
        </w:rPr>
        <w:t>El presupuesto para los entes públicos representa responsabilidades formales y legales, siendo el documento esencial en la asignación, administración y control de recursos; mientras que, en las entidades privadas tiene características estimativas y orientadoras de su funcionamiento.</w:t>
      </w:r>
    </w:p>
    <w:p w:rsidR="00307EFB" w:rsidRPr="00307EFB" w:rsidRDefault="00307EFB" w:rsidP="00307EFB">
      <w:pPr>
        <w:jc w:val="both"/>
        <w:rPr>
          <w:rFonts w:ascii="Noto Sans Light" w:hAnsi="Noto Sans Light" w:cs="Noto Sans Light"/>
          <w:sz w:val="24"/>
          <w:szCs w:val="24"/>
        </w:rPr>
      </w:pPr>
      <w:bookmarkStart w:id="0" w:name="_GoBack"/>
      <w:bookmarkEnd w:id="0"/>
    </w:p>
    <w:p w:rsidR="00307EFB" w:rsidRPr="00307EFB" w:rsidRDefault="00307EFB" w:rsidP="00307EFB">
      <w:pPr>
        <w:pStyle w:val="Prrafodelista"/>
        <w:numPr>
          <w:ilvl w:val="0"/>
          <w:numId w:val="15"/>
        </w:numPr>
        <w:jc w:val="both"/>
        <w:rPr>
          <w:rFonts w:ascii="Noto Sans Light" w:hAnsi="Noto Sans Light" w:cs="Noto Sans Light"/>
          <w:sz w:val="24"/>
          <w:szCs w:val="24"/>
        </w:rPr>
      </w:pPr>
      <w:r w:rsidRPr="00307EFB">
        <w:rPr>
          <w:rFonts w:ascii="Noto Sans Light" w:hAnsi="Noto Sans Light" w:cs="Noto Sans Light"/>
          <w:sz w:val="24"/>
          <w:szCs w:val="24"/>
        </w:rPr>
        <w:lastRenderedPageBreak/>
        <w:t xml:space="preserve">La información generada por la contabilidad gubernamental es de dominio público, está basada en el registro de operaciones económico-financieras realizadas con recursos de la sociedad y como tal, es de divulgación obligatoria e </w:t>
      </w:r>
    </w:p>
    <w:p w:rsidR="00307EFB" w:rsidRPr="00307EFB" w:rsidRDefault="00307EFB" w:rsidP="00307EFB">
      <w:pPr>
        <w:jc w:val="both"/>
        <w:rPr>
          <w:rFonts w:ascii="Noto Sans Light" w:hAnsi="Noto Sans Light" w:cs="Noto Sans Light"/>
          <w:sz w:val="24"/>
          <w:szCs w:val="24"/>
        </w:rPr>
      </w:pPr>
    </w:p>
    <w:p w:rsidR="00307EFB" w:rsidRPr="00307EFB" w:rsidRDefault="00307EFB" w:rsidP="00307EFB">
      <w:pPr>
        <w:pStyle w:val="Prrafodelista"/>
        <w:numPr>
          <w:ilvl w:val="0"/>
          <w:numId w:val="15"/>
        </w:numPr>
        <w:jc w:val="both"/>
        <w:rPr>
          <w:rFonts w:ascii="Noto Sans Light" w:hAnsi="Noto Sans Light" w:cs="Noto Sans Light"/>
          <w:sz w:val="24"/>
          <w:szCs w:val="24"/>
        </w:rPr>
      </w:pPr>
      <w:r w:rsidRPr="00307EFB">
        <w:rPr>
          <w:rFonts w:ascii="Noto Sans Light" w:hAnsi="Noto Sans Light" w:cs="Noto Sans Light"/>
          <w:sz w:val="24"/>
          <w:szCs w:val="24"/>
        </w:rPr>
        <w:t>informa sobre los resultados de la gestión pública. En la empresa privada es potestad de su estructura organizativa, divulgar los resultados de sus operaciones y el interés se limita a los directamente involucrados con la propiedad de dicha empresa, excepto de las que cotizan en la Bolsa Mexicana de Valores.</w:t>
      </w:r>
    </w:p>
    <w:p w:rsidR="007F3CDC" w:rsidRPr="00307EFB" w:rsidRDefault="00307EFB" w:rsidP="00307EFB">
      <w:pPr>
        <w:pStyle w:val="Prrafodelista"/>
        <w:numPr>
          <w:ilvl w:val="0"/>
          <w:numId w:val="15"/>
        </w:numPr>
        <w:jc w:val="both"/>
        <w:rPr>
          <w:rFonts w:ascii="Noto Sans Light" w:hAnsi="Noto Sans Light" w:cs="Noto Sans Light"/>
          <w:sz w:val="24"/>
          <w:szCs w:val="24"/>
        </w:rPr>
      </w:pPr>
      <w:r w:rsidRPr="00307EFB">
        <w:rPr>
          <w:rFonts w:ascii="Noto Sans Light" w:hAnsi="Noto Sans Light" w:cs="Noto Sans Light"/>
          <w:sz w:val="24"/>
          <w:szCs w:val="24"/>
        </w:rPr>
        <w:t>La contabilidad de las organizaciones, tanto públicas como privadas, forma parte a su vez, de un macro sistema contable, que es el Sistema de Cuentas Nacionales (SCN). Este macro sistema contable consolida estados e información de todos los agentes económicos residentes de un país y relaciona la de éstos con el Sector Externo y exponiendo los resultados de las principales variables macroeconómicas nacionales o regionales correspondientes a un período determinado.</w:t>
      </w:r>
    </w:p>
    <w:p w:rsidR="007F3CDC" w:rsidRPr="007F3CDC" w:rsidRDefault="007F3CDC" w:rsidP="007F3CDC">
      <w:pPr>
        <w:jc w:val="both"/>
        <w:rPr>
          <w:rFonts w:ascii="Noto Sans Light" w:hAnsi="Noto Sans Light" w:cs="Noto Sans Light"/>
          <w:sz w:val="24"/>
          <w:szCs w:val="24"/>
        </w:rPr>
      </w:pPr>
    </w:p>
    <w:p w:rsidR="007F3CDC" w:rsidRPr="007F3CDC" w:rsidRDefault="007E26D4" w:rsidP="007F3CDC">
      <w:pPr>
        <w:jc w:val="both"/>
        <w:rPr>
          <w:rFonts w:ascii="Noto Sans" w:hAnsi="Noto Sans" w:cs="Noto Sans"/>
          <w:b/>
          <w:color w:val="621333"/>
          <w:sz w:val="28"/>
          <w:szCs w:val="28"/>
        </w:rPr>
      </w:pPr>
      <w:r w:rsidRPr="007E26D4">
        <w:rPr>
          <w:rFonts w:ascii="Noto Sans" w:hAnsi="Noto Sans" w:cs="Noto Sans"/>
          <w:b/>
          <w:color w:val="621333"/>
          <w:sz w:val="28"/>
          <w:szCs w:val="28"/>
        </w:rPr>
        <w:t>B.2 FUNDAMENTO LEGAL DE LA CONTABILIDAD GUBERNAMENTAL EN MÉXICO.</w:t>
      </w:r>
    </w:p>
    <w:p w:rsidR="007F3CDC" w:rsidRPr="007F3CDC" w:rsidRDefault="007F3CDC" w:rsidP="007F3CDC">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El Sistema de Contabilidad Gubernamental, aplicable para las entidades paraestatales, se fundamenta en el Título Tercero, Capítulo II, Sección III, artículo 73, Fracción XXVIII, de la Constitución Política de los Estados Unidos Mexicanos, donde se establece, entre otras facultades del Congreso, la de "expedir leyes en materia de contabilidad gubernamental que regirán la contabilidad pública y la presentación homogénea de información financiera, de ingresos y egresos, así como patrimonial con el fin de garantizar su armonización a nivel nacional".</w:t>
      </w:r>
    </w:p>
    <w:p w:rsidR="007E26D4" w:rsidRPr="007E26D4" w:rsidRDefault="007E26D4"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En el marco de la citada atribución, el Congreso de la Unión aprobó la LGCG que rige en la materia a los tres órdenes de gobierno y, crea el Consejo Nacional de Armonización Contable (CONAC), como órgano de coordinación para la armonización de la contabilidad gubernamental y lo faculta para la emisión de normas contables y lineamientos para la generación de información financiera que deben aplicar los entes públicos.</w:t>
      </w:r>
    </w:p>
    <w:p w:rsidR="007E26D4" w:rsidRPr="007E26D4" w:rsidRDefault="007E26D4"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Por su parte, el artículo 1 de la LGCG, establece que la misma "es de observancia obligatoria para los poderes Ejecutivo, Legislativo y Judicial de la Federación, los estados y la Ciudad de México; los ayuntamientos de los municipios; los órganos político-administrativos de las demarcaciones territoriales de la Ciudad de México; las entidades de la administración pública paraestatal, ya sean federales, estatales o municipales y los órganos autónomos federales y estatales".</w:t>
      </w:r>
    </w:p>
    <w:p w:rsidR="007E26D4" w:rsidRPr="007E26D4" w:rsidRDefault="007E26D4" w:rsidP="007E26D4">
      <w:pPr>
        <w:jc w:val="both"/>
        <w:rPr>
          <w:rFonts w:ascii="Noto Sans Light" w:hAnsi="Noto Sans Light" w:cs="Noto Sans Light"/>
          <w:sz w:val="24"/>
          <w:szCs w:val="24"/>
        </w:rPr>
      </w:pPr>
    </w:p>
    <w:p w:rsidR="007F3CDC"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En tal contexto, el artículo 33 de la LGCG, dispone que la contabilidad gubernamental deba considerar las mejores prácticas contables nacionales e internacionales en apoyo a las tareas de planeación financiera, control de recursos, análisis y fiscalización.</w:t>
      </w:r>
    </w:p>
    <w:p w:rsidR="007E26D4" w:rsidRPr="007F3CDC" w:rsidRDefault="007E26D4" w:rsidP="007E26D4">
      <w:pPr>
        <w:jc w:val="both"/>
        <w:rPr>
          <w:rFonts w:ascii="Noto Sans Light" w:hAnsi="Noto Sans Light" w:cs="Noto Sans Light"/>
          <w:sz w:val="24"/>
          <w:szCs w:val="24"/>
        </w:rPr>
      </w:pPr>
    </w:p>
    <w:p w:rsidR="007F3CDC" w:rsidRDefault="007E26D4" w:rsidP="007F3CDC">
      <w:pPr>
        <w:jc w:val="both"/>
        <w:rPr>
          <w:rFonts w:ascii="Noto Sans" w:hAnsi="Noto Sans" w:cs="Noto Sans"/>
          <w:b/>
          <w:color w:val="621333"/>
          <w:sz w:val="28"/>
          <w:szCs w:val="28"/>
        </w:rPr>
      </w:pPr>
      <w:r w:rsidRPr="007E26D4">
        <w:rPr>
          <w:rFonts w:ascii="Noto Sans" w:hAnsi="Noto Sans" w:cs="Noto Sans"/>
          <w:b/>
          <w:color w:val="621333"/>
          <w:sz w:val="28"/>
          <w:szCs w:val="28"/>
        </w:rPr>
        <w:t>B.3 CONCEPTO DEL SISTEMA DE CONTABILIDAD GUBERNAMENTAL SCG.</w:t>
      </w:r>
    </w:p>
    <w:p w:rsidR="007E26D4" w:rsidRPr="007F3CDC" w:rsidRDefault="007E26D4" w:rsidP="007F3CDC">
      <w:pPr>
        <w:jc w:val="both"/>
        <w:rPr>
          <w:rFonts w:ascii="Noto Sans" w:hAnsi="Noto Sans" w:cs="Noto Sans"/>
          <w:b/>
          <w:color w:val="621333"/>
          <w:sz w:val="28"/>
          <w:szCs w:val="28"/>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El Sistema de Contabilidad Gubernamental está conformado por el conjunto de registros, procedimientos, criterios e informes estructurados sobre la base de principios técnicos comunes destinados a captar, valuar, registrar, clasificar, informar e interpretar en forma sistemática, las transacciones, transformaciones y eventos identificables y cuantificables que, derivados de la actividad económica y expresados en términos monetarios, modifican la situación económica, financiera y patrimonial de los entes públicos en particular y de las finanzas públicas en general. El SCG, de los entes públicos, debe registrar de manera armónica, delimitada y específica las operaciones presupuestarias y contables derivadas de la gestión pública, así como los Flujos Económicos. De igual forma, debe generar periódicamente estados financieros útiles, confiables, relevantes, oportunos, comprensibles y comparables, expresados en términos monetarios.</w:t>
      </w:r>
    </w:p>
    <w:p w:rsidR="007E26D4" w:rsidRPr="007E26D4" w:rsidRDefault="007E26D4" w:rsidP="007E26D4">
      <w:pPr>
        <w:jc w:val="both"/>
        <w:rPr>
          <w:rFonts w:ascii="Noto Sans Light" w:hAnsi="Noto Sans Light" w:cs="Noto Sans Light"/>
          <w:sz w:val="24"/>
          <w:szCs w:val="24"/>
        </w:rPr>
      </w:pPr>
    </w:p>
    <w:p w:rsidR="00C509F3"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En el marco anterior, el artículo 34 de la LGCG, se establece que “los registros contables de los entes públicos se llevarán con base acumulativa”.</w:t>
      </w:r>
    </w:p>
    <w:p w:rsidR="007E26D4" w:rsidRDefault="007E26D4" w:rsidP="007E26D4">
      <w:pPr>
        <w:jc w:val="both"/>
        <w:rPr>
          <w:rFonts w:ascii="Noto Sans Light" w:hAnsi="Noto Sans Light" w:cs="Noto Sans Light"/>
          <w:sz w:val="24"/>
          <w:szCs w:val="24"/>
        </w:rPr>
      </w:pPr>
    </w:p>
    <w:p w:rsidR="007E26D4" w:rsidRPr="0024145E" w:rsidRDefault="007E26D4" w:rsidP="007E26D4">
      <w:pPr>
        <w:jc w:val="both"/>
        <w:rPr>
          <w:rFonts w:ascii="Noto Sans" w:hAnsi="Noto Sans" w:cs="Noto Sans"/>
          <w:b/>
          <w:color w:val="621333"/>
          <w:sz w:val="28"/>
          <w:szCs w:val="28"/>
        </w:rPr>
      </w:pPr>
      <w:r w:rsidRPr="0024145E">
        <w:rPr>
          <w:rFonts w:ascii="Noto Sans" w:hAnsi="Noto Sans" w:cs="Noto Sans"/>
          <w:b/>
          <w:color w:val="621333"/>
          <w:sz w:val="28"/>
          <w:szCs w:val="28"/>
        </w:rPr>
        <w:t>B.4 LA CONTABILIDAD GUBERNAMENTAL Y LOS ENTES PÚBLICOS.</w:t>
      </w:r>
    </w:p>
    <w:p w:rsidR="007E26D4" w:rsidRP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La LGCG identifica a los órganos y entidades de cada orden de gobierno que deben fungir en calidad de entes públicos, e instituye las normas y responsabilidades de los mismos con respecto a la contabilidad gubernamental.</w:t>
      </w: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El artículo 4, fracción XII, de la LGCG, establece que son Entes públicos: los poderes Ejecutivo, Legislativo y Judicial de la Federación y de las entidades federativas; los órganos autónomos de la Federación y de las entidades federativas; los ayuntamientos de los municipios; los órganos político-administrativos de las demarcaciones territoriales de la Ciudad de México; y las entidades de la administración pública paraestatal, federal, estatal o municipal.</w:t>
      </w:r>
    </w:p>
    <w:p w:rsidR="00094D0E" w:rsidRPr="007E26D4" w:rsidRDefault="00094D0E" w:rsidP="007E26D4">
      <w:pPr>
        <w:jc w:val="both"/>
        <w:rPr>
          <w:rFonts w:ascii="Noto Sans Light" w:hAnsi="Noto Sans Light" w:cs="Noto Sans Light"/>
          <w:sz w:val="24"/>
          <w:szCs w:val="24"/>
        </w:rPr>
      </w:pPr>
    </w:p>
    <w:p w:rsidR="007E26D4" w:rsidRP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Por otra parte, el artículo 2 dispone que "los entes públicos aplicarán la contabilidad gubernamental para facilitar el registro y la fiscalización de los activos, pasivos, ingresos y gastos y, en general, contribuir a medir la eficacia, economía y eficiencia del gasto e ingresos públicos, la administración de la deuda pública, incluyendo las obligaciones contingentes y el patrimonio del Estado". Asimismo, la LGCG, en su artículo 17, establece que "cada ente público será responsable de su contabilidad, de la operación del sistema; así como, del cumplimiento de lo dispuesto por Ley de Contabilidad y las decisiones que emita el Consejo". Finalmente, el artículo 52 señala que "los estados financieros y demás información presupuestaria, programática y contable que emanen de los registros de los entes públicos, serán la base para la emisión de informes periódicos y para la formulación de la cuenta pública anual”, agregando que “los entes públicos deberán elaborar los estados de conformidad con las disposiciones normativas y técnicas que emanen de esta Ley o que emita el Consejo”.</w:t>
      </w:r>
    </w:p>
    <w:p w:rsidR="007E26D4" w:rsidRPr="007E26D4" w:rsidRDefault="007E26D4" w:rsidP="007E26D4">
      <w:pPr>
        <w:jc w:val="both"/>
        <w:rPr>
          <w:rFonts w:ascii="Noto Sans Light" w:hAnsi="Noto Sans Light" w:cs="Noto Sans Light"/>
          <w:sz w:val="24"/>
          <w:szCs w:val="24"/>
        </w:rPr>
      </w:pPr>
    </w:p>
    <w:p w:rsidR="007E26D4" w:rsidRPr="0024145E" w:rsidRDefault="007E26D4" w:rsidP="007E26D4">
      <w:pPr>
        <w:jc w:val="both"/>
        <w:rPr>
          <w:rFonts w:ascii="Noto Sans" w:hAnsi="Noto Sans" w:cs="Noto Sans"/>
          <w:b/>
          <w:color w:val="621333"/>
          <w:sz w:val="28"/>
          <w:szCs w:val="28"/>
        </w:rPr>
      </w:pPr>
      <w:r w:rsidRPr="0024145E">
        <w:rPr>
          <w:rFonts w:ascii="Noto Sans" w:hAnsi="Noto Sans" w:cs="Noto Sans"/>
          <w:b/>
          <w:color w:val="621333"/>
          <w:sz w:val="28"/>
          <w:szCs w:val="28"/>
        </w:rPr>
        <w:t>B.5 OBJETIVOS DEL SISTEMA DE CONTABILIDAD GUBERNAMENTAL (SCG).</w:t>
      </w: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El Sistema de Contabilidad Gubernamental deberá:</w:t>
      </w:r>
    </w:p>
    <w:p w:rsidR="00094D0E" w:rsidRPr="007E26D4" w:rsidRDefault="00094D0E"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18"/>
        </w:numPr>
        <w:jc w:val="both"/>
        <w:rPr>
          <w:rFonts w:ascii="Noto Sans Light" w:hAnsi="Noto Sans Light" w:cs="Noto Sans Light"/>
          <w:sz w:val="24"/>
          <w:szCs w:val="24"/>
        </w:rPr>
      </w:pPr>
      <w:r w:rsidRPr="00094D0E">
        <w:rPr>
          <w:rFonts w:ascii="Noto Sans Light" w:hAnsi="Noto Sans Light" w:cs="Noto Sans Light"/>
          <w:sz w:val="24"/>
          <w:szCs w:val="24"/>
        </w:rPr>
        <w:t>Facilitar la toma de decisiones con información veraz, oportuna y confiable, tendiente a optimizar el manejo de los recursos;</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18"/>
        </w:numPr>
        <w:jc w:val="both"/>
        <w:rPr>
          <w:rFonts w:ascii="Noto Sans Light" w:hAnsi="Noto Sans Light" w:cs="Noto Sans Light"/>
          <w:sz w:val="24"/>
          <w:szCs w:val="24"/>
        </w:rPr>
      </w:pPr>
      <w:r w:rsidRPr="00094D0E">
        <w:rPr>
          <w:rFonts w:ascii="Noto Sans Light" w:hAnsi="Noto Sans Light" w:cs="Noto Sans Light"/>
          <w:sz w:val="24"/>
          <w:szCs w:val="24"/>
        </w:rPr>
        <w:t>Emitir, integrar y/o consolidar los estados financieros, así como, producir reportes de todas las operaciones de la Administración Pública;</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18"/>
        </w:numPr>
        <w:jc w:val="both"/>
        <w:rPr>
          <w:rFonts w:ascii="Noto Sans Light" w:hAnsi="Noto Sans Light" w:cs="Noto Sans Light"/>
          <w:sz w:val="24"/>
          <w:szCs w:val="24"/>
        </w:rPr>
      </w:pPr>
      <w:r w:rsidRPr="00094D0E">
        <w:rPr>
          <w:rFonts w:ascii="Noto Sans Light" w:hAnsi="Noto Sans Light" w:cs="Noto Sans Light"/>
          <w:sz w:val="24"/>
          <w:szCs w:val="24"/>
        </w:rPr>
        <w:t>Permitir la adopción de políticas para el manejo eficiente del gasto, orientado al cumplimiento de los fines y objetivos del ente público;</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18"/>
        </w:numPr>
        <w:jc w:val="both"/>
        <w:rPr>
          <w:rFonts w:ascii="Noto Sans Light" w:hAnsi="Noto Sans Light" w:cs="Noto Sans Light"/>
          <w:sz w:val="24"/>
          <w:szCs w:val="24"/>
        </w:rPr>
      </w:pPr>
      <w:r w:rsidRPr="00094D0E">
        <w:rPr>
          <w:rFonts w:ascii="Noto Sans Light" w:hAnsi="Noto Sans Light" w:cs="Noto Sans Light"/>
          <w:sz w:val="24"/>
          <w:szCs w:val="24"/>
        </w:rPr>
        <w:t>Registrar de manera automática, armónica, delimitada, específica y en tiempo real las operaciones contables y presupuestarias propiciando, con ello, el registro único, simultáneo y homogéneo;</w:t>
      </w:r>
      <w:r w:rsidRPr="00094D0E">
        <w:rPr>
          <w:rFonts w:ascii="Noto Sans Light" w:hAnsi="Noto Sans Light" w:cs="Noto Sans Light"/>
          <w:sz w:val="24"/>
          <w:szCs w:val="24"/>
        </w:rPr>
        <w:tab/>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18"/>
        </w:numPr>
        <w:jc w:val="both"/>
        <w:rPr>
          <w:rFonts w:ascii="Noto Sans Light" w:hAnsi="Noto Sans Light" w:cs="Noto Sans Light"/>
          <w:sz w:val="24"/>
          <w:szCs w:val="24"/>
        </w:rPr>
      </w:pPr>
      <w:r w:rsidRPr="00094D0E">
        <w:rPr>
          <w:rFonts w:ascii="Noto Sans Light" w:hAnsi="Noto Sans Light" w:cs="Noto Sans Light"/>
          <w:sz w:val="24"/>
          <w:szCs w:val="24"/>
        </w:rPr>
        <w:t>Atender requerimientos de información de los usuarios en general sobre las finanzas públicas;</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18"/>
        </w:numPr>
        <w:jc w:val="both"/>
        <w:rPr>
          <w:rFonts w:ascii="Noto Sans Light" w:hAnsi="Noto Sans Light" w:cs="Noto Sans Light"/>
          <w:sz w:val="24"/>
          <w:szCs w:val="24"/>
        </w:rPr>
      </w:pPr>
      <w:r w:rsidRPr="00094D0E">
        <w:rPr>
          <w:rFonts w:ascii="Noto Sans Light" w:hAnsi="Noto Sans Light" w:cs="Noto Sans Light"/>
          <w:sz w:val="24"/>
          <w:szCs w:val="24"/>
        </w:rPr>
        <w:t>Facilitar el reconocimiento, registro, seguimiento, evaluación y fiscalización de las operaciones de ingresos, gastos, activos, pasivos y patrimoniales de los entes públicos, así como, su extinción;</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18"/>
        </w:numPr>
        <w:jc w:val="both"/>
        <w:rPr>
          <w:rFonts w:ascii="Noto Sans Light" w:hAnsi="Noto Sans Light" w:cs="Noto Sans Light"/>
          <w:sz w:val="24"/>
          <w:szCs w:val="24"/>
        </w:rPr>
      </w:pPr>
      <w:r w:rsidRPr="00094D0E">
        <w:rPr>
          <w:rFonts w:ascii="Noto Sans Light" w:hAnsi="Noto Sans Light" w:cs="Noto Sans Light"/>
          <w:sz w:val="24"/>
          <w:szCs w:val="24"/>
        </w:rPr>
        <w:t>Dar soporte técnico-documental a los registros financieros para su seguimiento, evaluación y fiscalización; y,</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18"/>
        </w:numPr>
        <w:jc w:val="both"/>
        <w:rPr>
          <w:rFonts w:ascii="Noto Sans Light" w:hAnsi="Noto Sans Light" w:cs="Noto Sans Light"/>
          <w:sz w:val="24"/>
          <w:szCs w:val="24"/>
        </w:rPr>
      </w:pPr>
      <w:r w:rsidRPr="00094D0E">
        <w:rPr>
          <w:rFonts w:ascii="Noto Sans Light" w:hAnsi="Noto Sans Light" w:cs="Noto Sans Light"/>
          <w:sz w:val="24"/>
          <w:szCs w:val="24"/>
        </w:rPr>
        <w:t>Permitir una efectiva transparencia en la rendición de cuentas.</w:t>
      </w:r>
    </w:p>
    <w:p w:rsidR="00094D0E" w:rsidRDefault="00094D0E"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 xml:space="preserve">A los que, siguiendo con los criterios establecidos, correspondería agregar los siguientes: </w:t>
      </w:r>
    </w:p>
    <w:p w:rsidR="00094D0E" w:rsidRPr="007E26D4" w:rsidRDefault="00094D0E"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20"/>
        </w:numPr>
        <w:jc w:val="both"/>
        <w:rPr>
          <w:rFonts w:ascii="Noto Sans Light" w:hAnsi="Noto Sans Light" w:cs="Noto Sans Light"/>
          <w:sz w:val="24"/>
          <w:szCs w:val="24"/>
        </w:rPr>
      </w:pPr>
      <w:r w:rsidRPr="00094D0E">
        <w:rPr>
          <w:rFonts w:ascii="Noto Sans Light" w:hAnsi="Noto Sans Light" w:cs="Noto Sans Light"/>
          <w:sz w:val="24"/>
          <w:szCs w:val="24"/>
        </w:rPr>
        <w:t>Coadyuvar en el desarrollo de estudios e investigaciones comparativos entre distintos países que permitan medir la eficiencia en el manejo de los recursos públicos;</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20"/>
        </w:numPr>
        <w:jc w:val="both"/>
        <w:rPr>
          <w:rFonts w:ascii="Noto Sans Light" w:hAnsi="Noto Sans Light" w:cs="Noto Sans Light"/>
          <w:sz w:val="24"/>
          <w:szCs w:val="24"/>
        </w:rPr>
      </w:pPr>
      <w:r w:rsidRPr="00094D0E">
        <w:rPr>
          <w:rFonts w:ascii="Noto Sans Light" w:hAnsi="Noto Sans Light" w:cs="Noto Sans Light"/>
          <w:sz w:val="24"/>
          <w:szCs w:val="24"/>
        </w:rPr>
        <w:t>Facilitar el control interno y externo de la gestión pública para garantizar que los recursos se utilicen en forma eficaz, eficiente y con transparencia;</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20"/>
        </w:numPr>
        <w:jc w:val="both"/>
        <w:rPr>
          <w:rFonts w:ascii="Noto Sans Light" w:hAnsi="Noto Sans Light" w:cs="Noto Sans Light"/>
          <w:sz w:val="24"/>
          <w:szCs w:val="24"/>
        </w:rPr>
      </w:pPr>
      <w:r w:rsidRPr="00094D0E">
        <w:rPr>
          <w:rFonts w:ascii="Noto Sans Light" w:hAnsi="Noto Sans Light" w:cs="Noto Sans Light"/>
          <w:sz w:val="24"/>
          <w:szCs w:val="24"/>
        </w:rPr>
        <w:t>Informar a la sociedad, los resultados de la gestión pública, con el fin de generar conciencia ciudadana respecto del manejo de su patrimonio y promover la contraloría ciudadana.</w:t>
      </w:r>
    </w:p>
    <w:p w:rsidR="00094D0E" w:rsidRDefault="00094D0E" w:rsidP="007E26D4">
      <w:pPr>
        <w:jc w:val="both"/>
        <w:rPr>
          <w:rFonts w:ascii="Noto Sans Light" w:hAnsi="Noto Sans Light" w:cs="Noto Sans Light"/>
          <w:sz w:val="24"/>
          <w:szCs w:val="24"/>
        </w:rPr>
      </w:pPr>
    </w:p>
    <w:p w:rsidR="00094D0E" w:rsidRDefault="00094D0E"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Desagregando dichos objetivos corresponde a cada uno de los entes públicos:</w:t>
      </w:r>
    </w:p>
    <w:p w:rsidR="00094D0E" w:rsidRPr="007E26D4" w:rsidRDefault="00094D0E"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22"/>
        </w:numPr>
        <w:jc w:val="both"/>
        <w:rPr>
          <w:rFonts w:ascii="Noto Sans Light" w:hAnsi="Noto Sans Light" w:cs="Noto Sans Light"/>
          <w:sz w:val="24"/>
          <w:szCs w:val="24"/>
        </w:rPr>
      </w:pPr>
      <w:r w:rsidRPr="00094D0E">
        <w:rPr>
          <w:rFonts w:ascii="Noto Sans Light" w:hAnsi="Noto Sans Light" w:cs="Noto Sans Light"/>
          <w:sz w:val="24"/>
          <w:szCs w:val="24"/>
        </w:rPr>
        <w:t>Para efectos de registro, información, manejo de políticas, fiscalización y evaluación lo siguiente:</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1"/>
          <w:numId w:val="26"/>
        </w:numPr>
        <w:jc w:val="both"/>
        <w:rPr>
          <w:rFonts w:ascii="Noto Sans Light" w:hAnsi="Noto Sans Light" w:cs="Noto Sans Light"/>
          <w:sz w:val="24"/>
          <w:szCs w:val="24"/>
        </w:rPr>
      </w:pPr>
      <w:r w:rsidRPr="00094D0E">
        <w:rPr>
          <w:rFonts w:ascii="Noto Sans Light" w:hAnsi="Noto Sans Light" w:cs="Noto Sans Light"/>
          <w:sz w:val="24"/>
          <w:szCs w:val="24"/>
        </w:rPr>
        <w:t>Registrar de manera automática, armónica, delimitada, específica y en tiempo real las operaciones contables y presupuestarias propiciando, con ello, el registro único, simultáneo y homogéneo.</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1"/>
          <w:numId w:val="26"/>
        </w:numPr>
        <w:jc w:val="both"/>
        <w:rPr>
          <w:rFonts w:ascii="Noto Sans Light" w:hAnsi="Noto Sans Light" w:cs="Noto Sans Light"/>
          <w:sz w:val="24"/>
          <w:szCs w:val="24"/>
        </w:rPr>
      </w:pPr>
      <w:r w:rsidRPr="00094D0E">
        <w:rPr>
          <w:rFonts w:ascii="Noto Sans Light" w:hAnsi="Noto Sans Light" w:cs="Noto Sans Light"/>
          <w:sz w:val="24"/>
          <w:szCs w:val="24"/>
        </w:rPr>
        <w:t xml:space="preserve">Producir estados e información financiera con veracidad, oportunidad y confiabilidad, con el fin de cumplir con la normativa vigente, utilizarla para la toma de decisiones por parte de sus autoridades, apoyar la gestión operativa y satisfacer los requisitos de rendición de cuentas y transparencia. </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1"/>
          <w:numId w:val="26"/>
        </w:numPr>
        <w:jc w:val="both"/>
        <w:rPr>
          <w:rFonts w:ascii="Noto Sans Light" w:hAnsi="Noto Sans Light" w:cs="Noto Sans Light"/>
          <w:sz w:val="24"/>
          <w:szCs w:val="24"/>
        </w:rPr>
      </w:pPr>
      <w:r w:rsidRPr="00094D0E">
        <w:rPr>
          <w:rFonts w:ascii="Noto Sans Light" w:hAnsi="Noto Sans Light" w:cs="Noto Sans Light"/>
          <w:sz w:val="24"/>
          <w:szCs w:val="24"/>
        </w:rPr>
        <w:t xml:space="preserve">Facilitar la adopción de políticas para el manejo eficiente del ingreso y del gasto público. </w:t>
      </w:r>
    </w:p>
    <w:p w:rsidR="007E26D4" w:rsidRPr="007E26D4" w:rsidRDefault="007E26D4" w:rsidP="007E26D4">
      <w:pPr>
        <w:jc w:val="both"/>
        <w:rPr>
          <w:rFonts w:ascii="Noto Sans Light" w:hAnsi="Noto Sans Light" w:cs="Noto Sans Light"/>
          <w:sz w:val="24"/>
          <w:szCs w:val="24"/>
        </w:rPr>
      </w:pPr>
    </w:p>
    <w:p w:rsidR="007E26D4" w:rsidRDefault="007E26D4" w:rsidP="00094D0E">
      <w:pPr>
        <w:pStyle w:val="Prrafodelista"/>
        <w:numPr>
          <w:ilvl w:val="1"/>
          <w:numId w:val="26"/>
        </w:numPr>
        <w:jc w:val="both"/>
        <w:rPr>
          <w:rFonts w:ascii="Noto Sans Light" w:hAnsi="Noto Sans Light" w:cs="Noto Sans Light"/>
          <w:sz w:val="24"/>
          <w:szCs w:val="24"/>
        </w:rPr>
      </w:pPr>
      <w:r w:rsidRPr="00094D0E">
        <w:rPr>
          <w:rFonts w:ascii="Noto Sans Light" w:hAnsi="Noto Sans Light" w:cs="Noto Sans Light"/>
          <w:sz w:val="24"/>
          <w:szCs w:val="24"/>
        </w:rPr>
        <w:t>Facilitar la fiscalización y auditoría de las operaciones de ingresos, gastos, activos, pasivos y patrimonio.</w:t>
      </w:r>
    </w:p>
    <w:p w:rsidR="00094D0E" w:rsidRPr="00094D0E" w:rsidRDefault="00094D0E" w:rsidP="00094D0E">
      <w:pPr>
        <w:pStyle w:val="Prrafodelista"/>
        <w:rPr>
          <w:rFonts w:ascii="Noto Sans Light" w:hAnsi="Noto Sans Light" w:cs="Noto Sans Light"/>
          <w:sz w:val="24"/>
          <w:szCs w:val="24"/>
        </w:rPr>
      </w:pPr>
    </w:p>
    <w:p w:rsidR="007E26D4" w:rsidRPr="00094D0E" w:rsidRDefault="007E26D4" w:rsidP="00094D0E">
      <w:pPr>
        <w:pStyle w:val="Prrafodelista"/>
        <w:numPr>
          <w:ilvl w:val="0"/>
          <w:numId w:val="22"/>
        </w:numPr>
        <w:jc w:val="both"/>
        <w:rPr>
          <w:rFonts w:ascii="Noto Sans Light" w:hAnsi="Noto Sans Light" w:cs="Noto Sans Light"/>
          <w:sz w:val="24"/>
          <w:szCs w:val="24"/>
        </w:rPr>
      </w:pPr>
      <w:r w:rsidRPr="00094D0E">
        <w:rPr>
          <w:rFonts w:ascii="Noto Sans Light" w:hAnsi="Noto Sans Light" w:cs="Noto Sans Light"/>
          <w:sz w:val="24"/>
          <w:szCs w:val="24"/>
        </w:rPr>
        <w:t>Con relación a la gestión y la situación financiera consolidada de los diversos agregados institucionales del Sector Público:</w:t>
      </w:r>
    </w:p>
    <w:p w:rsidR="007E26D4" w:rsidRPr="00094D0E" w:rsidRDefault="007E26D4" w:rsidP="00094D0E">
      <w:pPr>
        <w:pStyle w:val="Prrafodelista"/>
        <w:numPr>
          <w:ilvl w:val="0"/>
          <w:numId w:val="24"/>
        </w:numPr>
        <w:jc w:val="both"/>
        <w:rPr>
          <w:rFonts w:ascii="Noto Sans Light" w:hAnsi="Noto Sans Light" w:cs="Noto Sans Light"/>
          <w:sz w:val="24"/>
          <w:szCs w:val="24"/>
        </w:rPr>
      </w:pPr>
      <w:r w:rsidRPr="00094D0E">
        <w:rPr>
          <w:rFonts w:ascii="Noto Sans Light" w:hAnsi="Noto Sans Light" w:cs="Noto Sans Light"/>
          <w:sz w:val="24"/>
          <w:szCs w:val="24"/>
        </w:rPr>
        <w:t>Producir información presupuestaria, contable y económica armonizada, integrada y consolidada para el análisis y la toma de decisiones por parte de los responsables de administrar las finanzas públicas.</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24"/>
        </w:numPr>
        <w:jc w:val="both"/>
        <w:rPr>
          <w:rFonts w:ascii="Noto Sans Light" w:hAnsi="Noto Sans Light" w:cs="Noto Sans Light"/>
          <w:sz w:val="24"/>
          <w:szCs w:val="24"/>
        </w:rPr>
      </w:pPr>
      <w:r w:rsidRPr="00094D0E">
        <w:rPr>
          <w:rFonts w:ascii="Noto Sans Light" w:hAnsi="Noto Sans Light" w:cs="Noto Sans Light"/>
          <w:sz w:val="24"/>
          <w:szCs w:val="24"/>
        </w:rPr>
        <w:t>Producir la Cuenta de la Hacienda Pública Federal de acuerdo con los plazos legales.</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24"/>
        </w:numPr>
        <w:jc w:val="both"/>
        <w:rPr>
          <w:rFonts w:ascii="Noto Sans Light" w:hAnsi="Noto Sans Light" w:cs="Noto Sans Light"/>
          <w:sz w:val="24"/>
          <w:szCs w:val="24"/>
        </w:rPr>
      </w:pPr>
      <w:r w:rsidRPr="00094D0E">
        <w:rPr>
          <w:rFonts w:ascii="Noto Sans Light" w:hAnsi="Noto Sans Light" w:cs="Noto Sans Light"/>
          <w:sz w:val="24"/>
          <w:szCs w:val="24"/>
        </w:rPr>
        <w:t>Producir información ordenada de acuerdo con el sistema de estadísticas de las finanzas públicas.</w:t>
      </w:r>
    </w:p>
    <w:p w:rsidR="007E26D4" w:rsidRPr="007E26D4" w:rsidRDefault="007E26D4"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24"/>
        </w:numPr>
        <w:jc w:val="both"/>
        <w:rPr>
          <w:rFonts w:ascii="Noto Sans Light" w:hAnsi="Noto Sans Light" w:cs="Noto Sans Light"/>
          <w:sz w:val="24"/>
          <w:szCs w:val="24"/>
        </w:rPr>
      </w:pPr>
      <w:r w:rsidRPr="00094D0E">
        <w:rPr>
          <w:rFonts w:ascii="Noto Sans Light" w:hAnsi="Noto Sans Light" w:cs="Noto Sans Light"/>
          <w:sz w:val="24"/>
          <w:szCs w:val="24"/>
        </w:rPr>
        <w:t>Coadyuvar a generar las cuentas del Gobierno Central y del Sector Paraestatal del Sistema de Cuentas Nacionales.</w:t>
      </w:r>
    </w:p>
    <w:p w:rsidR="007E26D4" w:rsidRPr="007E26D4" w:rsidRDefault="007E26D4" w:rsidP="007E26D4">
      <w:pPr>
        <w:jc w:val="both"/>
        <w:rPr>
          <w:rFonts w:ascii="Noto Sans Light" w:hAnsi="Noto Sans Light" w:cs="Noto Sans Light"/>
          <w:sz w:val="24"/>
          <w:szCs w:val="24"/>
        </w:rPr>
      </w:pPr>
    </w:p>
    <w:p w:rsidR="007E26D4" w:rsidRDefault="007E26D4" w:rsidP="007E26D4">
      <w:pPr>
        <w:jc w:val="both"/>
        <w:rPr>
          <w:rFonts w:ascii="Noto Sans" w:hAnsi="Noto Sans" w:cs="Noto Sans"/>
          <w:b/>
          <w:color w:val="621333"/>
          <w:sz w:val="28"/>
          <w:szCs w:val="28"/>
        </w:rPr>
      </w:pPr>
      <w:r w:rsidRPr="0024145E">
        <w:rPr>
          <w:rFonts w:ascii="Noto Sans" w:hAnsi="Noto Sans" w:cs="Noto Sans"/>
          <w:b/>
          <w:color w:val="621333"/>
          <w:sz w:val="28"/>
          <w:szCs w:val="28"/>
        </w:rPr>
        <w:t>B.6 PRODUCTOS A GENERAR POR EL SISTEMA DE CONTABILIDAD GUBERNAMENTAL (SCG).</w:t>
      </w:r>
    </w:p>
    <w:p w:rsidR="00094D0E" w:rsidRPr="0024145E" w:rsidRDefault="00094D0E" w:rsidP="007E26D4">
      <w:pPr>
        <w:jc w:val="both"/>
        <w:rPr>
          <w:rFonts w:ascii="Noto Sans" w:hAnsi="Noto Sans" w:cs="Noto Sans"/>
          <w:b/>
          <w:color w:val="621333"/>
          <w:sz w:val="28"/>
          <w:szCs w:val="28"/>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El Sistema de Contabilidad Gubernamental, en principio, debe generar los estados y la información financiera señalada por la LGCG y las normas emitidas por el CONAC. En forma adicional a estos productos, el sistema debe generar información financiera que coadyuve a la toma de decisiones por parte de las autoridades públicas, en especial de aquellas relacionadas con la política fiscal, control, transparencia y rendición de cuentas.</w:t>
      </w:r>
    </w:p>
    <w:p w:rsidR="00094D0E" w:rsidRPr="007E26D4" w:rsidRDefault="00094D0E"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29"/>
        </w:numPr>
        <w:jc w:val="both"/>
        <w:rPr>
          <w:rFonts w:ascii="Noto Sans Light" w:hAnsi="Noto Sans Light" w:cs="Noto Sans Light"/>
          <w:sz w:val="24"/>
          <w:szCs w:val="24"/>
        </w:rPr>
      </w:pPr>
      <w:r w:rsidRPr="00094D0E">
        <w:rPr>
          <w:rFonts w:ascii="Noto Sans Light" w:hAnsi="Noto Sans Light" w:cs="Noto Sans Light"/>
          <w:sz w:val="24"/>
          <w:szCs w:val="24"/>
        </w:rPr>
        <w:t xml:space="preserve">Los productos a generar por el SCG, con relación a los entes públicos, se agrupan en los siguientes grandes conjuntos: </w:t>
      </w:r>
    </w:p>
    <w:p w:rsidR="007E26D4" w:rsidRPr="00094D0E" w:rsidRDefault="007E26D4" w:rsidP="00094D0E">
      <w:pPr>
        <w:pStyle w:val="Prrafodelista"/>
        <w:numPr>
          <w:ilvl w:val="1"/>
          <w:numId w:val="28"/>
        </w:numPr>
        <w:jc w:val="both"/>
        <w:rPr>
          <w:rFonts w:ascii="Noto Sans Light" w:hAnsi="Noto Sans Light" w:cs="Noto Sans Light"/>
          <w:sz w:val="24"/>
          <w:szCs w:val="24"/>
        </w:rPr>
      </w:pPr>
      <w:r w:rsidRPr="00094D0E">
        <w:rPr>
          <w:rFonts w:ascii="Noto Sans Light" w:hAnsi="Noto Sans Light" w:cs="Noto Sans Light"/>
          <w:sz w:val="24"/>
          <w:szCs w:val="24"/>
        </w:rPr>
        <w:t>Estados e información Contable.</w:t>
      </w:r>
    </w:p>
    <w:p w:rsidR="007E26D4" w:rsidRPr="00094D0E" w:rsidRDefault="007E26D4" w:rsidP="00094D0E">
      <w:pPr>
        <w:pStyle w:val="Prrafodelista"/>
        <w:numPr>
          <w:ilvl w:val="1"/>
          <w:numId w:val="28"/>
        </w:numPr>
        <w:jc w:val="both"/>
        <w:rPr>
          <w:rFonts w:ascii="Noto Sans Light" w:hAnsi="Noto Sans Light" w:cs="Noto Sans Light"/>
          <w:sz w:val="24"/>
          <w:szCs w:val="24"/>
        </w:rPr>
      </w:pPr>
      <w:r w:rsidRPr="00094D0E">
        <w:rPr>
          <w:rFonts w:ascii="Noto Sans Light" w:hAnsi="Noto Sans Light" w:cs="Noto Sans Light"/>
          <w:sz w:val="24"/>
          <w:szCs w:val="24"/>
        </w:rPr>
        <w:t>Estados e información Presupuestaria.</w:t>
      </w:r>
    </w:p>
    <w:p w:rsidR="007E26D4" w:rsidRDefault="007E26D4" w:rsidP="00094D0E">
      <w:pPr>
        <w:pStyle w:val="Prrafodelista"/>
        <w:numPr>
          <w:ilvl w:val="1"/>
          <w:numId w:val="28"/>
        </w:numPr>
        <w:jc w:val="both"/>
        <w:rPr>
          <w:rFonts w:ascii="Noto Sans Light" w:hAnsi="Noto Sans Light" w:cs="Noto Sans Light"/>
          <w:sz w:val="24"/>
          <w:szCs w:val="24"/>
        </w:rPr>
      </w:pPr>
      <w:r w:rsidRPr="00094D0E">
        <w:rPr>
          <w:rFonts w:ascii="Noto Sans Light" w:hAnsi="Noto Sans Light" w:cs="Noto Sans Light"/>
          <w:sz w:val="24"/>
          <w:szCs w:val="24"/>
        </w:rPr>
        <w:t>Estados e información Económica.</w:t>
      </w:r>
    </w:p>
    <w:p w:rsidR="00094D0E" w:rsidRPr="00094D0E" w:rsidRDefault="00094D0E" w:rsidP="00094D0E">
      <w:pPr>
        <w:pStyle w:val="Prrafodelista"/>
        <w:ind w:left="1440"/>
        <w:jc w:val="both"/>
        <w:rPr>
          <w:rFonts w:ascii="Noto Sans Light" w:hAnsi="Noto Sans Light" w:cs="Noto Sans Light"/>
          <w:sz w:val="24"/>
          <w:szCs w:val="24"/>
        </w:rPr>
      </w:pPr>
    </w:p>
    <w:p w:rsidR="007E26D4" w:rsidRDefault="007E26D4" w:rsidP="007E26D4">
      <w:pPr>
        <w:jc w:val="both"/>
        <w:rPr>
          <w:rFonts w:ascii="Noto Sans" w:hAnsi="Noto Sans" w:cs="Noto Sans"/>
          <w:b/>
          <w:color w:val="621333"/>
          <w:sz w:val="28"/>
          <w:szCs w:val="28"/>
        </w:rPr>
      </w:pPr>
      <w:r w:rsidRPr="0024145E">
        <w:rPr>
          <w:rFonts w:ascii="Noto Sans" w:hAnsi="Noto Sans" w:cs="Noto Sans"/>
          <w:b/>
          <w:color w:val="621333"/>
          <w:sz w:val="28"/>
          <w:szCs w:val="28"/>
        </w:rPr>
        <w:t>B.7 PRINCIPALES USUARIOS DE LA INFORMACIÓN GENERADA POR LOS ENTES PÚBLICOS DEL SECTOR PARAESTATAL (RAMO 12- SALUD)</w:t>
      </w:r>
    </w:p>
    <w:p w:rsidR="00EF2396" w:rsidRPr="0024145E" w:rsidRDefault="00EF2396" w:rsidP="007E26D4">
      <w:pPr>
        <w:jc w:val="both"/>
        <w:rPr>
          <w:rFonts w:ascii="Noto Sans" w:hAnsi="Noto Sans" w:cs="Noto Sans"/>
          <w:b/>
          <w:color w:val="621333"/>
          <w:sz w:val="28"/>
          <w:szCs w:val="28"/>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Entre los principales usuarios de la información que se produce, se identifican los siguientes:</w:t>
      </w:r>
    </w:p>
    <w:p w:rsidR="00094D0E" w:rsidRPr="007E26D4" w:rsidRDefault="00094D0E" w:rsidP="007E26D4">
      <w:pPr>
        <w:jc w:val="both"/>
        <w:rPr>
          <w:rFonts w:ascii="Noto Sans Light" w:hAnsi="Noto Sans Light" w:cs="Noto Sans Light"/>
          <w:sz w:val="24"/>
          <w:szCs w:val="24"/>
        </w:rPr>
      </w:pPr>
    </w:p>
    <w:p w:rsidR="007E26D4" w:rsidRPr="00094D0E" w:rsidRDefault="007E26D4" w:rsidP="00094D0E">
      <w:pPr>
        <w:pStyle w:val="Prrafodelista"/>
        <w:numPr>
          <w:ilvl w:val="0"/>
          <w:numId w:val="31"/>
        </w:numPr>
        <w:jc w:val="both"/>
        <w:rPr>
          <w:rFonts w:ascii="Noto Sans Light" w:hAnsi="Noto Sans Light" w:cs="Noto Sans Light"/>
          <w:sz w:val="24"/>
          <w:szCs w:val="24"/>
        </w:rPr>
      </w:pPr>
      <w:r w:rsidRPr="00094D0E">
        <w:rPr>
          <w:rFonts w:ascii="Noto Sans Light" w:hAnsi="Noto Sans Light" w:cs="Noto Sans Light"/>
          <w:sz w:val="24"/>
          <w:szCs w:val="24"/>
        </w:rPr>
        <w:t>Cada una de las entidades paraestatales federales, para el seguimiento de los ingresos y gastos públicos al interior de las áreas administrativo/financieras, quienes tienen la responsabilidad de ejecutar los programas y proyectos de los entes públicos, mismos que se utilizan.</w:t>
      </w:r>
    </w:p>
    <w:p w:rsidR="007E26D4" w:rsidRPr="00094D0E" w:rsidRDefault="007E26D4" w:rsidP="00094D0E">
      <w:pPr>
        <w:pStyle w:val="Prrafodelista"/>
        <w:numPr>
          <w:ilvl w:val="0"/>
          <w:numId w:val="31"/>
        </w:numPr>
        <w:jc w:val="both"/>
        <w:rPr>
          <w:rFonts w:ascii="Noto Sans Light" w:hAnsi="Noto Sans Light" w:cs="Noto Sans Light"/>
          <w:sz w:val="24"/>
          <w:szCs w:val="24"/>
        </w:rPr>
      </w:pPr>
      <w:r w:rsidRPr="00094D0E">
        <w:rPr>
          <w:rFonts w:ascii="Noto Sans Light" w:hAnsi="Noto Sans Light" w:cs="Noto Sans Light"/>
          <w:sz w:val="24"/>
          <w:szCs w:val="24"/>
        </w:rPr>
        <w:t>Las instancias fiscalizadoras que requieren de la información financiera para llevar a cabo sus tareas;</w:t>
      </w:r>
    </w:p>
    <w:p w:rsidR="007E26D4" w:rsidRPr="00094D0E" w:rsidRDefault="007E26D4" w:rsidP="00094D0E">
      <w:pPr>
        <w:pStyle w:val="Prrafodelista"/>
        <w:numPr>
          <w:ilvl w:val="0"/>
          <w:numId w:val="31"/>
        </w:numPr>
        <w:jc w:val="both"/>
        <w:rPr>
          <w:rFonts w:ascii="Noto Sans Light" w:hAnsi="Noto Sans Light" w:cs="Noto Sans Light"/>
          <w:sz w:val="24"/>
          <w:szCs w:val="24"/>
        </w:rPr>
      </w:pPr>
      <w:r w:rsidRPr="00094D0E">
        <w:rPr>
          <w:rFonts w:ascii="Noto Sans Light" w:hAnsi="Noto Sans Light" w:cs="Noto Sans Light"/>
          <w:sz w:val="24"/>
          <w:szCs w:val="24"/>
        </w:rPr>
        <w:t>Los responsables de administrar las finanzas públicas;</w:t>
      </w:r>
    </w:p>
    <w:p w:rsidR="007E26D4" w:rsidRPr="00094D0E" w:rsidRDefault="007E26D4" w:rsidP="00094D0E">
      <w:pPr>
        <w:pStyle w:val="Prrafodelista"/>
        <w:numPr>
          <w:ilvl w:val="0"/>
          <w:numId w:val="31"/>
        </w:numPr>
        <w:jc w:val="both"/>
        <w:rPr>
          <w:rFonts w:ascii="Noto Sans Light" w:hAnsi="Noto Sans Light" w:cs="Noto Sans Light"/>
          <w:sz w:val="24"/>
          <w:szCs w:val="24"/>
        </w:rPr>
      </w:pPr>
      <w:r w:rsidRPr="00094D0E">
        <w:rPr>
          <w:rFonts w:ascii="Noto Sans Light" w:hAnsi="Noto Sans Light" w:cs="Noto Sans Light"/>
          <w:sz w:val="24"/>
          <w:szCs w:val="24"/>
        </w:rPr>
        <w:t>Los organismos de planeación y desarrollo de las políticas públicas, para analizar y evaluar la efectividad de las mismas y orientar nuevas políticas;</w:t>
      </w:r>
    </w:p>
    <w:p w:rsidR="007E26D4" w:rsidRPr="00094D0E" w:rsidRDefault="007E26D4" w:rsidP="00094D0E">
      <w:pPr>
        <w:pStyle w:val="Prrafodelista"/>
        <w:numPr>
          <w:ilvl w:val="0"/>
          <w:numId w:val="31"/>
        </w:numPr>
        <w:jc w:val="both"/>
        <w:rPr>
          <w:rFonts w:ascii="Noto Sans Light" w:hAnsi="Noto Sans Light" w:cs="Noto Sans Light"/>
          <w:sz w:val="24"/>
          <w:szCs w:val="24"/>
        </w:rPr>
      </w:pPr>
      <w:r w:rsidRPr="00094D0E">
        <w:rPr>
          <w:rFonts w:ascii="Noto Sans Light" w:hAnsi="Noto Sans Light" w:cs="Noto Sans Light"/>
          <w:sz w:val="24"/>
          <w:szCs w:val="24"/>
        </w:rPr>
        <w:t>Los órganos financieros nacionales e internacionales que contribuyen con el financiamiento de programas o proyectos;</w:t>
      </w:r>
    </w:p>
    <w:p w:rsidR="007E26D4" w:rsidRPr="00094D0E" w:rsidRDefault="007E26D4" w:rsidP="00094D0E">
      <w:pPr>
        <w:pStyle w:val="Prrafodelista"/>
        <w:numPr>
          <w:ilvl w:val="0"/>
          <w:numId w:val="31"/>
        </w:numPr>
        <w:jc w:val="both"/>
        <w:rPr>
          <w:rFonts w:ascii="Noto Sans Light" w:hAnsi="Noto Sans Light" w:cs="Noto Sans Light"/>
          <w:sz w:val="24"/>
          <w:szCs w:val="24"/>
        </w:rPr>
      </w:pPr>
      <w:r w:rsidRPr="00094D0E">
        <w:rPr>
          <w:rFonts w:ascii="Noto Sans Light" w:hAnsi="Noto Sans Light" w:cs="Noto Sans Light"/>
          <w:sz w:val="24"/>
          <w:szCs w:val="24"/>
        </w:rPr>
        <w:t>Entidades especializadas en calificar la calidad crediticia de los entes públicos;</w:t>
      </w:r>
    </w:p>
    <w:p w:rsidR="007E26D4" w:rsidRPr="00094D0E" w:rsidRDefault="007E26D4" w:rsidP="00094D0E">
      <w:pPr>
        <w:pStyle w:val="Prrafodelista"/>
        <w:numPr>
          <w:ilvl w:val="0"/>
          <w:numId w:val="31"/>
        </w:numPr>
        <w:jc w:val="both"/>
        <w:rPr>
          <w:rFonts w:ascii="Noto Sans Light" w:hAnsi="Noto Sans Light" w:cs="Noto Sans Light"/>
          <w:sz w:val="24"/>
          <w:szCs w:val="24"/>
        </w:rPr>
      </w:pPr>
      <w:r w:rsidRPr="00094D0E">
        <w:rPr>
          <w:rFonts w:ascii="Noto Sans Light" w:hAnsi="Noto Sans Light" w:cs="Noto Sans Light"/>
          <w:sz w:val="24"/>
          <w:szCs w:val="24"/>
        </w:rPr>
        <w:t>Los inversionistas externos que requieren conocer el grado de estabilidad de las finanzas públicas, para tomar decisiones respecto de futuras inversiones; y,</w:t>
      </w:r>
    </w:p>
    <w:p w:rsidR="007E26D4" w:rsidRDefault="007E26D4" w:rsidP="00094D0E">
      <w:pPr>
        <w:pStyle w:val="Prrafodelista"/>
        <w:numPr>
          <w:ilvl w:val="0"/>
          <w:numId w:val="31"/>
        </w:numPr>
        <w:jc w:val="both"/>
        <w:rPr>
          <w:rFonts w:ascii="Noto Sans Light" w:hAnsi="Noto Sans Light" w:cs="Noto Sans Light"/>
          <w:sz w:val="24"/>
          <w:szCs w:val="24"/>
        </w:rPr>
      </w:pPr>
      <w:r w:rsidRPr="00094D0E">
        <w:rPr>
          <w:rFonts w:ascii="Noto Sans Light" w:hAnsi="Noto Sans Light" w:cs="Noto Sans Light"/>
          <w:sz w:val="24"/>
          <w:szCs w:val="24"/>
        </w:rPr>
        <w:t>La sociedad civil en general, que demanda información sobre la gestión y situación contable, presupuestaria y económica de los entes públicos y de los diferentes agregados institucionales del Sector Público.</w:t>
      </w:r>
    </w:p>
    <w:p w:rsidR="00094D0E" w:rsidRPr="00094D0E" w:rsidRDefault="00094D0E" w:rsidP="00094D0E">
      <w:pPr>
        <w:pStyle w:val="Prrafodelista"/>
        <w:jc w:val="both"/>
        <w:rPr>
          <w:rFonts w:ascii="Noto Sans Light" w:hAnsi="Noto Sans Light" w:cs="Noto Sans Light"/>
          <w:sz w:val="24"/>
          <w:szCs w:val="24"/>
        </w:rPr>
      </w:pPr>
    </w:p>
    <w:p w:rsidR="007E26D4" w:rsidRPr="0024145E" w:rsidRDefault="007E26D4" w:rsidP="007E26D4">
      <w:pPr>
        <w:jc w:val="both"/>
        <w:rPr>
          <w:rFonts w:ascii="Noto Sans" w:hAnsi="Noto Sans" w:cs="Noto Sans"/>
          <w:b/>
          <w:color w:val="621333"/>
          <w:sz w:val="28"/>
          <w:szCs w:val="28"/>
        </w:rPr>
      </w:pPr>
      <w:r w:rsidRPr="0024145E">
        <w:rPr>
          <w:rFonts w:ascii="Noto Sans" w:hAnsi="Noto Sans" w:cs="Noto Sans"/>
          <w:b/>
          <w:color w:val="621333"/>
          <w:sz w:val="28"/>
          <w:szCs w:val="28"/>
        </w:rPr>
        <w:t xml:space="preserve">B.8 MARCO CONCEPTUAL DE LA CONTABILIDAD GUBERNAMENTAL (MCCG). </w:t>
      </w:r>
    </w:p>
    <w:p w:rsidR="00EF2396" w:rsidRDefault="00EF2396"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 xml:space="preserve">La LGCG en su artículo 21 establece que "La contabilidad se basará en un marco conceptual que representa los conceptos fundamentales para la elaboración de normas, la contabilización, valuación y presentación de la información financiera confiable y comparable para satisfacer las necesidades de los usuarios y permitirá ser reconocida e interpretada por especialistas e interesados en las finanzas públicas". </w:t>
      </w:r>
    </w:p>
    <w:p w:rsidR="00EF2396" w:rsidRPr="007E26D4" w:rsidRDefault="00EF2396"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Derivado de este sustento legal, el CONAC emitió el MCCG, que desarrolla los aspectos básicos del SCG para los entes públicos, erigiéndose en la referencia teórica que define, delimita, interrelaciona e integra de forma lógico-deductiva sus objetivos y fundamentos. Además, establece los criterios necesarios para el desarrollo de normas, valuación, contabilización, obtención y presentación de información contable, presupuestaria y económica, en forma clara, oportuna, confiable y comparable, para satisfacer las necesidades de los usuarios y está compuesto por los siguientes apartados:</w:t>
      </w:r>
    </w:p>
    <w:p w:rsidR="00EF2396" w:rsidRPr="007E26D4" w:rsidRDefault="00EF2396" w:rsidP="007E26D4">
      <w:pPr>
        <w:jc w:val="both"/>
        <w:rPr>
          <w:rFonts w:ascii="Noto Sans Light" w:hAnsi="Noto Sans Light" w:cs="Noto Sans Light"/>
          <w:sz w:val="24"/>
          <w:szCs w:val="24"/>
        </w:rPr>
      </w:pPr>
    </w:p>
    <w:p w:rsidR="007E26D4" w:rsidRPr="00EF2396" w:rsidRDefault="007E26D4" w:rsidP="00EF2396">
      <w:pPr>
        <w:pStyle w:val="Prrafodelista"/>
        <w:numPr>
          <w:ilvl w:val="1"/>
          <w:numId w:val="34"/>
        </w:numPr>
        <w:jc w:val="both"/>
        <w:rPr>
          <w:rFonts w:ascii="Noto Sans Light" w:hAnsi="Noto Sans Light" w:cs="Noto Sans Light"/>
          <w:sz w:val="24"/>
          <w:szCs w:val="24"/>
        </w:rPr>
      </w:pPr>
      <w:r w:rsidRPr="00EF2396">
        <w:rPr>
          <w:rFonts w:ascii="Noto Sans Light" w:hAnsi="Noto Sans Light" w:cs="Noto Sans Light"/>
          <w:sz w:val="24"/>
          <w:szCs w:val="24"/>
        </w:rPr>
        <w:t>Características del Marco Conceptual de Contabilidad Gubernamental;</w:t>
      </w:r>
    </w:p>
    <w:p w:rsidR="007E26D4" w:rsidRPr="00EF2396" w:rsidRDefault="007E26D4" w:rsidP="00EF2396">
      <w:pPr>
        <w:pStyle w:val="Prrafodelista"/>
        <w:numPr>
          <w:ilvl w:val="1"/>
          <w:numId w:val="34"/>
        </w:numPr>
        <w:jc w:val="both"/>
        <w:rPr>
          <w:rFonts w:ascii="Noto Sans Light" w:hAnsi="Noto Sans Light" w:cs="Noto Sans Light"/>
          <w:sz w:val="24"/>
          <w:szCs w:val="24"/>
        </w:rPr>
      </w:pPr>
      <w:r w:rsidRPr="00EF2396">
        <w:rPr>
          <w:rFonts w:ascii="Noto Sans Light" w:hAnsi="Noto Sans Light" w:cs="Noto Sans Light"/>
          <w:sz w:val="24"/>
          <w:szCs w:val="24"/>
        </w:rPr>
        <w:t>Sistema de Contabilidad Gubernamental;</w:t>
      </w:r>
    </w:p>
    <w:p w:rsidR="007E26D4" w:rsidRPr="00EF2396" w:rsidRDefault="007E26D4" w:rsidP="00EF2396">
      <w:pPr>
        <w:pStyle w:val="Prrafodelista"/>
        <w:numPr>
          <w:ilvl w:val="1"/>
          <w:numId w:val="34"/>
        </w:numPr>
        <w:jc w:val="both"/>
        <w:rPr>
          <w:rFonts w:ascii="Noto Sans Light" w:hAnsi="Noto Sans Light" w:cs="Noto Sans Light"/>
          <w:sz w:val="24"/>
          <w:szCs w:val="24"/>
        </w:rPr>
      </w:pPr>
      <w:r w:rsidRPr="00EF2396">
        <w:rPr>
          <w:rFonts w:ascii="Noto Sans Light" w:hAnsi="Noto Sans Light" w:cs="Noto Sans Light"/>
          <w:sz w:val="24"/>
          <w:szCs w:val="24"/>
        </w:rPr>
        <w:t>Postulados Básicos de Contabilidad Gubernamental;</w:t>
      </w:r>
    </w:p>
    <w:p w:rsidR="007E26D4" w:rsidRPr="00EF2396" w:rsidRDefault="007E26D4" w:rsidP="00EF2396">
      <w:pPr>
        <w:pStyle w:val="Prrafodelista"/>
        <w:numPr>
          <w:ilvl w:val="1"/>
          <w:numId w:val="34"/>
        </w:numPr>
        <w:jc w:val="both"/>
        <w:rPr>
          <w:rFonts w:ascii="Noto Sans Light" w:hAnsi="Noto Sans Light" w:cs="Noto Sans Light"/>
          <w:sz w:val="24"/>
          <w:szCs w:val="24"/>
        </w:rPr>
      </w:pPr>
      <w:r w:rsidRPr="00EF2396">
        <w:rPr>
          <w:rFonts w:ascii="Noto Sans Light" w:hAnsi="Noto Sans Light" w:cs="Noto Sans Light"/>
          <w:sz w:val="24"/>
          <w:szCs w:val="24"/>
        </w:rPr>
        <w:t>Necesidades de Información financiera de los usuarios;</w:t>
      </w:r>
    </w:p>
    <w:p w:rsidR="007E26D4" w:rsidRPr="00EF2396" w:rsidRDefault="007E26D4" w:rsidP="00EF2396">
      <w:pPr>
        <w:pStyle w:val="Prrafodelista"/>
        <w:numPr>
          <w:ilvl w:val="1"/>
          <w:numId w:val="34"/>
        </w:numPr>
        <w:jc w:val="both"/>
        <w:rPr>
          <w:rFonts w:ascii="Noto Sans Light" w:hAnsi="Noto Sans Light" w:cs="Noto Sans Light"/>
          <w:sz w:val="24"/>
          <w:szCs w:val="24"/>
        </w:rPr>
      </w:pPr>
      <w:r w:rsidRPr="00EF2396">
        <w:rPr>
          <w:rFonts w:ascii="Noto Sans Light" w:hAnsi="Noto Sans Light" w:cs="Noto Sans Light"/>
          <w:sz w:val="24"/>
          <w:szCs w:val="24"/>
        </w:rPr>
        <w:t>Cualidades de la información financiera a producir;</w:t>
      </w:r>
    </w:p>
    <w:p w:rsidR="007E26D4" w:rsidRPr="00EF2396" w:rsidRDefault="007E26D4" w:rsidP="00EF2396">
      <w:pPr>
        <w:pStyle w:val="Prrafodelista"/>
        <w:numPr>
          <w:ilvl w:val="1"/>
          <w:numId w:val="34"/>
        </w:numPr>
        <w:jc w:val="both"/>
        <w:rPr>
          <w:rFonts w:ascii="Noto Sans Light" w:hAnsi="Noto Sans Light" w:cs="Noto Sans Light"/>
          <w:sz w:val="24"/>
          <w:szCs w:val="24"/>
        </w:rPr>
      </w:pPr>
      <w:r w:rsidRPr="00EF2396">
        <w:rPr>
          <w:rFonts w:ascii="Noto Sans Light" w:hAnsi="Noto Sans Light" w:cs="Noto Sans Light"/>
          <w:sz w:val="24"/>
          <w:szCs w:val="24"/>
        </w:rPr>
        <w:t>Estados Presupuestarios, Financieros y Económicos a producir y sus objetivos;</w:t>
      </w:r>
    </w:p>
    <w:p w:rsidR="007E26D4" w:rsidRPr="00EF2396" w:rsidRDefault="007E26D4" w:rsidP="00EF2396">
      <w:pPr>
        <w:pStyle w:val="Prrafodelista"/>
        <w:numPr>
          <w:ilvl w:val="1"/>
          <w:numId w:val="34"/>
        </w:numPr>
        <w:jc w:val="both"/>
        <w:rPr>
          <w:rFonts w:ascii="Noto Sans Light" w:hAnsi="Noto Sans Light" w:cs="Noto Sans Light"/>
          <w:sz w:val="24"/>
          <w:szCs w:val="24"/>
        </w:rPr>
      </w:pPr>
      <w:r w:rsidRPr="00EF2396">
        <w:rPr>
          <w:rFonts w:ascii="Noto Sans Light" w:hAnsi="Noto Sans Light" w:cs="Noto Sans Light"/>
          <w:sz w:val="24"/>
          <w:szCs w:val="24"/>
        </w:rPr>
        <w:t>Definición de la estructura básica y principales elementos de los estados financieros a elaborar.</w:t>
      </w:r>
    </w:p>
    <w:p w:rsidR="007E26D4" w:rsidRPr="007E26D4" w:rsidRDefault="007E26D4"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En virtud de lo anterior, la importancia del MCCG para el usuario general de los estados financieros radica en lo siguiente:</w:t>
      </w:r>
    </w:p>
    <w:p w:rsidR="00EF2396" w:rsidRPr="007E26D4" w:rsidRDefault="00EF2396" w:rsidP="007E26D4">
      <w:pPr>
        <w:jc w:val="both"/>
        <w:rPr>
          <w:rFonts w:ascii="Noto Sans Light" w:hAnsi="Noto Sans Light" w:cs="Noto Sans Light"/>
          <w:sz w:val="24"/>
          <w:szCs w:val="24"/>
        </w:rPr>
      </w:pPr>
    </w:p>
    <w:p w:rsidR="007E26D4" w:rsidRPr="00EF2396" w:rsidRDefault="007E26D4" w:rsidP="00EF2396">
      <w:pPr>
        <w:pStyle w:val="Prrafodelista"/>
        <w:numPr>
          <w:ilvl w:val="0"/>
          <w:numId w:val="35"/>
        </w:numPr>
        <w:jc w:val="both"/>
        <w:rPr>
          <w:rFonts w:ascii="Noto Sans Light" w:hAnsi="Noto Sans Light" w:cs="Noto Sans Light"/>
          <w:sz w:val="24"/>
          <w:szCs w:val="24"/>
        </w:rPr>
      </w:pPr>
      <w:r w:rsidRPr="00EF2396">
        <w:rPr>
          <w:rFonts w:ascii="Noto Sans Light" w:hAnsi="Noto Sans Light" w:cs="Noto Sans Light"/>
          <w:sz w:val="24"/>
          <w:szCs w:val="24"/>
        </w:rPr>
        <w:t>Ofrece un mayor entendimiento acerca de la naturaleza, función y límites de los estados e información financiera;</w:t>
      </w:r>
    </w:p>
    <w:p w:rsidR="007E26D4" w:rsidRPr="00EF2396" w:rsidRDefault="007E26D4" w:rsidP="00EF2396">
      <w:pPr>
        <w:pStyle w:val="Prrafodelista"/>
        <w:numPr>
          <w:ilvl w:val="0"/>
          <w:numId w:val="35"/>
        </w:numPr>
        <w:jc w:val="both"/>
        <w:rPr>
          <w:rFonts w:ascii="Noto Sans Light" w:hAnsi="Noto Sans Light" w:cs="Noto Sans Light"/>
          <w:sz w:val="24"/>
          <w:szCs w:val="24"/>
        </w:rPr>
      </w:pPr>
      <w:r w:rsidRPr="00EF2396">
        <w:rPr>
          <w:rFonts w:ascii="Noto Sans Light" w:hAnsi="Noto Sans Light" w:cs="Noto Sans Light"/>
          <w:sz w:val="24"/>
          <w:szCs w:val="24"/>
        </w:rPr>
        <w:t xml:space="preserve">Respalda teóricamente la emisión de las normas generales y normas particulares, evitando con ello la emisión de normas que no sean consistentes entre sí; </w:t>
      </w:r>
    </w:p>
    <w:p w:rsidR="007E26D4" w:rsidRPr="00EF2396" w:rsidRDefault="007E26D4" w:rsidP="00EF2396">
      <w:pPr>
        <w:pStyle w:val="Prrafodelista"/>
        <w:numPr>
          <w:ilvl w:val="0"/>
          <w:numId w:val="35"/>
        </w:numPr>
        <w:jc w:val="both"/>
        <w:rPr>
          <w:rFonts w:ascii="Noto Sans Light" w:hAnsi="Noto Sans Light" w:cs="Noto Sans Light"/>
          <w:sz w:val="24"/>
          <w:szCs w:val="24"/>
        </w:rPr>
      </w:pPr>
      <w:r w:rsidRPr="00EF2396">
        <w:rPr>
          <w:rFonts w:ascii="Noto Sans Light" w:hAnsi="Noto Sans Light" w:cs="Noto Sans Light"/>
          <w:sz w:val="24"/>
          <w:szCs w:val="24"/>
        </w:rPr>
        <w:t>Establece un marco de referencia para aclarar o sustentar tratamientos contables; y,</w:t>
      </w:r>
    </w:p>
    <w:p w:rsidR="007E26D4" w:rsidRPr="00EF2396" w:rsidRDefault="007E26D4" w:rsidP="00EF2396">
      <w:pPr>
        <w:pStyle w:val="Prrafodelista"/>
        <w:numPr>
          <w:ilvl w:val="0"/>
          <w:numId w:val="35"/>
        </w:numPr>
        <w:jc w:val="both"/>
        <w:rPr>
          <w:rFonts w:ascii="Noto Sans Light" w:hAnsi="Noto Sans Light" w:cs="Noto Sans Light"/>
          <w:sz w:val="24"/>
          <w:szCs w:val="24"/>
        </w:rPr>
      </w:pPr>
      <w:r w:rsidRPr="00EF2396">
        <w:rPr>
          <w:rFonts w:ascii="Noto Sans Light" w:hAnsi="Noto Sans Light" w:cs="Noto Sans Light"/>
          <w:sz w:val="24"/>
          <w:szCs w:val="24"/>
        </w:rPr>
        <w:t xml:space="preserve">Proporciona una terminología y un punto de referencia común entre los diseñadores del sistema, generadores de información y usuarios, promoviendo una mayor comunicación entre ellos, así como, una mejor capacidad de análisis. </w:t>
      </w:r>
    </w:p>
    <w:p w:rsidR="00EF2396" w:rsidRPr="007E26D4" w:rsidRDefault="00EF2396"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Por lo tanto, el MCCG tiene como propósitos:</w:t>
      </w:r>
    </w:p>
    <w:p w:rsidR="00EF2396" w:rsidRPr="007E26D4" w:rsidRDefault="00EF2396" w:rsidP="007E26D4">
      <w:pPr>
        <w:jc w:val="both"/>
        <w:rPr>
          <w:rFonts w:ascii="Noto Sans Light" w:hAnsi="Noto Sans Light" w:cs="Noto Sans Light"/>
          <w:sz w:val="24"/>
          <w:szCs w:val="24"/>
        </w:rPr>
      </w:pPr>
    </w:p>
    <w:p w:rsidR="007E26D4" w:rsidRPr="00EF2396" w:rsidRDefault="007E26D4" w:rsidP="00EF2396">
      <w:pPr>
        <w:pStyle w:val="Prrafodelista"/>
        <w:numPr>
          <w:ilvl w:val="0"/>
          <w:numId w:val="37"/>
        </w:numPr>
        <w:jc w:val="both"/>
        <w:rPr>
          <w:rFonts w:ascii="Noto Sans Light" w:hAnsi="Noto Sans Light" w:cs="Noto Sans Light"/>
          <w:sz w:val="24"/>
          <w:szCs w:val="24"/>
        </w:rPr>
      </w:pPr>
      <w:r w:rsidRPr="00EF2396">
        <w:rPr>
          <w:rFonts w:ascii="Noto Sans Light" w:hAnsi="Noto Sans Light" w:cs="Noto Sans Light"/>
          <w:sz w:val="24"/>
          <w:szCs w:val="24"/>
        </w:rPr>
        <w:t>Establecer los atributos esenciales para desarrollar la normatividad contable gubernamental;</w:t>
      </w:r>
    </w:p>
    <w:p w:rsidR="007E26D4" w:rsidRPr="00EF2396" w:rsidRDefault="007E26D4" w:rsidP="00EF2396">
      <w:pPr>
        <w:pStyle w:val="Prrafodelista"/>
        <w:numPr>
          <w:ilvl w:val="0"/>
          <w:numId w:val="37"/>
        </w:numPr>
        <w:jc w:val="both"/>
        <w:rPr>
          <w:rFonts w:ascii="Noto Sans Light" w:hAnsi="Noto Sans Light" w:cs="Noto Sans Light"/>
          <w:sz w:val="24"/>
          <w:szCs w:val="24"/>
        </w:rPr>
      </w:pPr>
      <w:r w:rsidRPr="00EF2396">
        <w:rPr>
          <w:rFonts w:ascii="Noto Sans Light" w:hAnsi="Noto Sans Light" w:cs="Noto Sans Light"/>
          <w:sz w:val="24"/>
          <w:szCs w:val="24"/>
        </w:rPr>
        <w:t>Referenciar la aplicación del registro en las operaciones y transacciones susceptibles de ser valoradas y cuantificadas;</w:t>
      </w:r>
    </w:p>
    <w:p w:rsidR="007E26D4" w:rsidRPr="00EF2396" w:rsidRDefault="007E26D4" w:rsidP="00EF2396">
      <w:pPr>
        <w:pStyle w:val="Prrafodelista"/>
        <w:numPr>
          <w:ilvl w:val="0"/>
          <w:numId w:val="37"/>
        </w:numPr>
        <w:jc w:val="both"/>
        <w:rPr>
          <w:rFonts w:ascii="Noto Sans Light" w:hAnsi="Noto Sans Light" w:cs="Noto Sans Light"/>
          <w:sz w:val="24"/>
          <w:szCs w:val="24"/>
        </w:rPr>
      </w:pPr>
      <w:r w:rsidRPr="00EF2396">
        <w:rPr>
          <w:rFonts w:ascii="Noto Sans Light" w:hAnsi="Noto Sans Light" w:cs="Noto Sans Light"/>
          <w:sz w:val="24"/>
          <w:szCs w:val="24"/>
        </w:rPr>
        <w:t>Proporcionar los conceptos imprescindibles que rigen a la contabilidad gubernamental, identificando de manera precisa las bases que la sustentan;</w:t>
      </w:r>
    </w:p>
    <w:p w:rsidR="007E26D4" w:rsidRPr="00EF2396" w:rsidRDefault="007E26D4" w:rsidP="00EF2396">
      <w:pPr>
        <w:pStyle w:val="Prrafodelista"/>
        <w:numPr>
          <w:ilvl w:val="0"/>
          <w:numId w:val="37"/>
        </w:numPr>
        <w:jc w:val="both"/>
        <w:rPr>
          <w:rFonts w:ascii="Noto Sans Light" w:hAnsi="Noto Sans Light" w:cs="Noto Sans Light"/>
          <w:sz w:val="24"/>
          <w:szCs w:val="24"/>
        </w:rPr>
      </w:pPr>
      <w:r w:rsidRPr="00EF2396">
        <w:rPr>
          <w:rFonts w:ascii="Noto Sans Light" w:hAnsi="Noto Sans Light" w:cs="Noto Sans Light"/>
          <w:sz w:val="24"/>
          <w:szCs w:val="24"/>
        </w:rPr>
        <w:t>Armonizar la generación y presentación de la información financiera que permita:</w:t>
      </w:r>
    </w:p>
    <w:p w:rsidR="007E26D4" w:rsidRPr="00EF2396" w:rsidRDefault="007E26D4" w:rsidP="00EF2396">
      <w:pPr>
        <w:pStyle w:val="Prrafodelista"/>
        <w:numPr>
          <w:ilvl w:val="1"/>
          <w:numId w:val="40"/>
        </w:numPr>
        <w:jc w:val="both"/>
        <w:rPr>
          <w:rFonts w:ascii="Noto Sans Light" w:hAnsi="Noto Sans Light" w:cs="Noto Sans Light"/>
          <w:sz w:val="24"/>
          <w:szCs w:val="24"/>
        </w:rPr>
      </w:pPr>
      <w:r w:rsidRPr="00EF2396">
        <w:rPr>
          <w:rFonts w:ascii="Noto Sans Light" w:hAnsi="Noto Sans Light" w:cs="Noto Sans Light"/>
          <w:sz w:val="24"/>
          <w:szCs w:val="24"/>
        </w:rPr>
        <w:t>Rendir cuentas de forma veraz y oportuna;</w:t>
      </w:r>
    </w:p>
    <w:p w:rsidR="007E26D4" w:rsidRPr="00EF2396" w:rsidRDefault="007E26D4" w:rsidP="00EF2396">
      <w:pPr>
        <w:pStyle w:val="Prrafodelista"/>
        <w:numPr>
          <w:ilvl w:val="1"/>
          <w:numId w:val="40"/>
        </w:numPr>
        <w:jc w:val="both"/>
        <w:rPr>
          <w:rFonts w:ascii="Noto Sans Light" w:hAnsi="Noto Sans Light" w:cs="Noto Sans Light"/>
          <w:sz w:val="24"/>
          <w:szCs w:val="24"/>
        </w:rPr>
      </w:pPr>
      <w:r w:rsidRPr="00EF2396">
        <w:rPr>
          <w:rFonts w:ascii="Noto Sans Light" w:hAnsi="Noto Sans Light" w:cs="Noto Sans Light"/>
          <w:sz w:val="24"/>
          <w:szCs w:val="24"/>
        </w:rPr>
        <w:t>Interpretar y evaluar el comportamiento de la gestión pública;</w:t>
      </w:r>
    </w:p>
    <w:p w:rsidR="007E26D4" w:rsidRPr="00EF2396" w:rsidRDefault="007E26D4" w:rsidP="00EF2396">
      <w:pPr>
        <w:pStyle w:val="Prrafodelista"/>
        <w:numPr>
          <w:ilvl w:val="1"/>
          <w:numId w:val="40"/>
        </w:numPr>
        <w:jc w:val="both"/>
        <w:rPr>
          <w:rFonts w:ascii="Noto Sans Light" w:hAnsi="Noto Sans Light" w:cs="Noto Sans Light"/>
          <w:sz w:val="24"/>
          <w:szCs w:val="24"/>
        </w:rPr>
      </w:pPr>
      <w:r w:rsidRPr="00EF2396">
        <w:rPr>
          <w:rFonts w:ascii="Noto Sans Light" w:hAnsi="Noto Sans Light" w:cs="Noto Sans Light"/>
          <w:sz w:val="24"/>
          <w:szCs w:val="24"/>
        </w:rPr>
        <w:t>Sustentar la toma de decisiones; y</w:t>
      </w:r>
    </w:p>
    <w:p w:rsidR="007E26D4" w:rsidRPr="00EF2396" w:rsidRDefault="007E26D4" w:rsidP="00EF2396">
      <w:pPr>
        <w:pStyle w:val="Prrafodelista"/>
        <w:numPr>
          <w:ilvl w:val="1"/>
          <w:numId w:val="40"/>
        </w:numPr>
        <w:jc w:val="both"/>
        <w:rPr>
          <w:rFonts w:ascii="Noto Sans Light" w:hAnsi="Noto Sans Light" w:cs="Noto Sans Light"/>
          <w:sz w:val="24"/>
          <w:szCs w:val="24"/>
        </w:rPr>
      </w:pPr>
      <w:r w:rsidRPr="00EF2396">
        <w:rPr>
          <w:rFonts w:ascii="Noto Sans Light" w:hAnsi="Noto Sans Light" w:cs="Noto Sans Light"/>
          <w:sz w:val="24"/>
          <w:szCs w:val="24"/>
        </w:rPr>
        <w:t>Apoyar las tareas de fiscalización.</w:t>
      </w:r>
    </w:p>
    <w:p w:rsidR="00EF2396" w:rsidRDefault="00EF2396"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Dado lo señalado en el MCCG referente al desarrollo de normas, valuación, contabilización y presentación de la información financiera, el CONAC emitió las Reglas Generales y Especificas del Registro y Valoración del Patrimonio. Estas normas permitirán armonizar los conceptos básicos de valuación para el registro y la generación de información.</w:t>
      </w:r>
    </w:p>
    <w:p w:rsidR="00A13B5C" w:rsidRPr="007E26D4" w:rsidRDefault="00A13B5C"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Dentro del contexto del MCCG la Unidad de Contabilidad Gubernamental, incluye en el Capítulo IV de este Manual, la Normatividad Contable conformada por las Normas Generales y la Norma de Archivo Contable Gubernamental, las cuales expresan de forma detallada las premisas para el registro de las operaciones aplicables a las entidades del Sector Paraestatal (Ramo 12 - Salud).</w:t>
      </w:r>
    </w:p>
    <w:p w:rsidR="00A13B5C" w:rsidRPr="007E26D4" w:rsidRDefault="00A13B5C" w:rsidP="007E26D4">
      <w:pPr>
        <w:jc w:val="both"/>
        <w:rPr>
          <w:rFonts w:ascii="Noto Sans Light" w:hAnsi="Noto Sans Light" w:cs="Noto Sans Light"/>
          <w:sz w:val="24"/>
          <w:szCs w:val="24"/>
        </w:rPr>
      </w:pPr>
    </w:p>
    <w:p w:rsidR="007E26D4" w:rsidRDefault="007E26D4" w:rsidP="007E26D4">
      <w:pPr>
        <w:jc w:val="both"/>
        <w:rPr>
          <w:rFonts w:ascii="Noto Sans" w:hAnsi="Noto Sans" w:cs="Noto Sans"/>
          <w:b/>
          <w:color w:val="621333"/>
          <w:sz w:val="28"/>
          <w:szCs w:val="28"/>
        </w:rPr>
      </w:pPr>
      <w:r w:rsidRPr="0024145E">
        <w:rPr>
          <w:rFonts w:ascii="Noto Sans" w:hAnsi="Noto Sans" w:cs="Noto Sans"/>
          <w:b/>
          <w:color w:val="621333"/>
          <w:sz w:val="28"/>
          <w:szCs w:val="28"/>
        </w:rPr>
        <w:t>B.9 POSTULADOS BÁSICOS DE LA CONTABILIDAD GUBERNAMENTAL (PBCG).</w:t>
      </w:r>
    </w:p>
    <w:p w:rsidR="002A20F1" w:rsidRPr="0024145E" w:rsidRDefault="002A20F1" w:rsidP="007E26D4">
      <w:pPr>
        <w:jc w:val="both"/>
        <w:rPr>
          <w:rFonts w:ascii="Noto Sans" w:hAnsi="Noto Sans" w:cs="Noto Sans"/>
          <w:b/>
          <w:color w:val="621333"/>
          <w:sz w:val="28"/>
          <w:szCs w:val="28"/>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De conformidad con el artículo 22 de la LGCG, "…los postulados tienen como objetivo sustentar técnicamente la contabilidad gubernamental, así como organizar la efectiva sistematización que permita la obtención de información veraz, clara y concisa."</w:t>
      </w:r>
    </w:p>
    <w:p w:rsidR="00395C61" w:rsidRPr="007E26D4" w:rsidRDefault="00395C61"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Los PBCG representan uno de los elementos fundamentales que configuran el SCG, al permitir la identificación, el análisis, la interpretación, la captación, el procesamiento y el reconocimiento de las transacciones, transformaciones internas y otros eventos que afectan económicamente al ente público. Sustentan de manera técnica el registro de las operaciones, la elaboración y presentación de estados financieros; basados en su razonamiento, eficiencia demostrada, respaldo en legislación especializada y aplicación de la LGCG, con la finalidad de uniformar los métodos, procedimientos y prácticas contables.</w:t>
      </w:r>
    </w:p>
    <w:p w:rsidR="00395C61" w:rsidRPr="007E26D4" w:rsidRDefault="00395C61"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Cabe destacar que con fecha 20 de agosto de 2009, fue publicado en el DOF, el acuerdo en el cuál el CONAC emite los PBCG, que deben ser aplicados por los entes públicos, de forma tal que la información que proporcionen sea oportuna, confiable y comparable para la toma de decisiones.</w:t>
      </w:r>
    </w:p>
    <w:p w:rsidR="00395C61" w:rsidRDefault="00395C61" w:rsidP="007E26D4">
      <w:pPr>
        <w:jc w:val="both"/>
        <w:rPr>
          <w:rFonts w:ascii="Noto Sans Light" w:hAnsi="Noto Sans Light" w:cs="Noto Sans Light"/>
          <w:sz w:val="24"/>
          <w:szCs w:val="24"/>
        </w:rPr>
      </w:pPr>
    </w:p>
    <w:p w:rsidR="00395C61" w:rsidRDefault="00395C61" w:rsidP="007E26D4">
      <w:pPr>
        <w:jc w:val="both"/>
        <w:rPr>
          <w:rFonts w:ascii="Noto Sans Light" w:hAnsi="Noto Sans Light" w:cs="Noto Sans Light"/>
          <w:sz w:val="24"/>
          <w:szCs w:val="24"/>
        </w:rPr>
      </w:pPr>
    </w:p>
    <w:p w:rsidR="00395C61" w:rsidRPr="007E26D4" w:rsidRDefault="00395C61" w:rsidP="007E26D4">
      <w:pPr>
        <w:jc w:val="both"/>
        <w:rPr>
          <w:rFonts w:ascii="Noto Sans Light" w:hAnsi="Noto Sans Light" w:cs="Noto Sans Light"/>
          <w:sz w:val="24"/>
          <w:szCs w:val="24"/>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 xml:space="preserve">A continuación, se describe el contenido principal de los PBCG: </w:t>
      </w:r>
    </w:p>
    <w:p w:rsidR="00395C61" w:rsidRPr="007E26D4" w:rsidRDefault="00395C61" w:rsidP="007E26D4">
      <w:pPr>
        <w:jc w:val="both"/>
        <w:rPr>
          <w:rFonts w:ascii="Noto Sans Light" w:hAnsi="Noto Sans Light" w:cs="Noto Sans Light"/>
          <w:sz w:val="24"/>
          <w:szCs w:val="24"/>
        </w:rPr>
      </w:pPr>
    </w:p>
    <w:p w:rsidR="007E26D4" w:rsidRPr="00395C61" w:rsidRDefault="007E26D4" w:rsidP="00395C61">
      <w:pPr>
        <w:pStyle w:val="Prrafodelista"/>
        <w:numPr>
          <w:ilvl w:val="1"/>
          <w:numId w:val="41"/>
        </w:numPr>
        <w:spacing w:after="120"/>
        <w:ind w:hanging="357"/>
        <w:jc w:val="both"/>
        <w:rPr>
          <w:rFonts w:ascii="Noto Sans Light" w:hAnsi="Noto Sans Light" w:cs="Noto Sans Light"/>
          <w:b/>
          <w:sz w:val="24"/>
          <w:szCs w:val="24"/>
        </w:rPr>
      </w:pPr>
      <w:r w:rsidRPr="00395C61">
        <w:rPr>
          <w:rFonts w:ascii="Noto Sans Light" w:hAnsi="Noto Sans Light" w:cs="Noto Sans Light"/>
          <w:b/>
          <w:sz w:val="24"/>
          <w:szCs w:val="24"/>
        </w:rPr>
        <w:t>Sustancia Económica</w:t>
      </w: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Es el reconocimiento contable de las transacciones, transformaciones internas y otros eventos, que afectan económicamente al ente público y delimitan la operación del Sistema de Contabilidad Gubernamental.</w:t>
      </w:r>
    </w:p>
    <w:p w:rsidR="00217147" w:rsidRPr="007E26D4" w:rsidRDefault="00217147" w:rsidP="007E26D4">
      <w:pPr>
        <w:jc w:val="both"/>
        <w:rPr>
          <w:rFonts w:ascii="Noto Sans Light" w:hAnsi="Noto Sans Light" w:cs="Noto Sans Light"/>
          <w:sz w:val="24"/>
          <w:szCs w:val="24"/>
        </w:rPr>
      </w:pPr>
    </w:p>
    <w:p w:rsidR="007E26D4" w:rsidRPr="00395C61" w:rsidRDefault="007E26D4" w:rsidP="00395C61">
      <w:pPr>
        <w:pStyle w:val="Prrafodelista"/>
        <w:numPr>
          <w:ilvl w:val="0"/>
          <w:numId w:val="41"/>
        </w:numPr>
        <w:spacing w:after="120"/>
        <w:ind w:hanging="357"/>
        <w:jc w:val="both"/>
        <w:rPr>
          <w:rFonts w:ascii="Noto Sans Light" w:hAnsi="Noto Sans Light" w:cs="Noto Sans Light"/>
          <w:b/>
          <w:sz w:val="24"/>
          <w:szCs w:val="24"/>
        </w:rPr>
      </w:pPr>
      <w:r w:rsidRPr="00395C61">
        <w:rPr>
          <w:rFonts w:ascii="Noto Sans Light" w:hAnsi="Noto Sans Light" w:cs="Noto Sans Light"/>
          <w:b/>
          <w:sz w:val="24"/>
          <w:szCs w:val="24"/>
        </w:rPr>
        <w:t>Entes Públicos</w:t>
      </w: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 xml:space="preserve">Los poderes Ejecutivo, Legislativo y Judicial de la Federación y de las entidades federativas; los entes autónomos de la Federación y de las entidades federativas; los ayuntamientos de los municipios; los órganos político-administrativos de las demarcaciones territoriales de la Ciudad de México; y las entidades de la administración pública paraestatal, ya sean federales, estatales o municipales. </w:t>
      </w:r>
    </w:p>
    <w:p w:rsidR="00217147" w:rsidRPr="007E26D4" w:rsidRDefault="00217147" w:rsidP="007E26D4">
      <w:pPr>
        <w:jc w:val="both"/>
        <w:rPr>
          <w:rFonts w:ascii="Noto Sans Light" w:hAnsi="Noto Sans Light" w:cs="Noto Sans Light"/>
          <w:sz w:val="24"/>
          <w:szCs w:val="24"/>
        </w:rPr>
      </w:pPr>
    </w:p>
    <w:p w:rsidR="007E26D4" w:rsidRPr="00395C61" w:rsidRDefault="007E26D4" w:rsidP="00395C61">
      <w:pPr>
        <w:pStyle w:val="Prrafodelista"/>
        <w:numPr>
          <w:ilvl w:val="0"/>
          <w:numId w:val="41"/>
        </w:numPr>
        <w:spacing w:after="120"/>
        <w:ind w:hanging="357"/>
        <w:jc w:val="both"/>
        <w:rPr>
          <w:rFonts w:ascii="Noto Sans Light" w:hAnsi="Noto Sans Light" w:cs="Noto Sans Light"/>
          <w:b/>
          <w:sz w:val="24"/>
          <w:szCs w:val="24"/>
        </w:rPr>
      </w:pPr>
      <w:r w:rsidRPr="00395C61">
        <w:rPr>
          <w:rFonts w:ascii="Noto Sans Light" w:hAnsi="Noto Sans Light" w:cs="Noto Sans Light"/>
          <w:b/>
          <w:sz w:val="24"/>
          <w:szCs w:val="24"/>
        </w:rPr>
        <w:t>Existencia Permanente</w:t>
      </w: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La actividad del ente público se establece por tiempo indefinido, salvo disposición legal en la que se especifique lo contrario.</w:t>
      </w:r>
    </w:p>
    <w:p w:rsidR="00217147" w:rsidRPr="007E26D4" w:rsidRDefault="00217147" w:rsidP="007E26D4">
      <w:pPr>
        <w:jc w:val="both"/>
        <w:rPr>
          <w:rFonts w:ascii="Noto Sans Light" w:hAnsi="Noto Sans Light" w:cs="Noto Sans Light"/>
          <w:sz w:val="24"/>
          <w:szCs w:val="24"/>
        </w:rPr>
      </w:pPr>
    </w:p>
    <w:p w:rsidR="007E26D4" w:rsidRPr="00395C61" w:rsidRDefault="007E26D4" w:rsidP="00395C61">
      <w:pPr>
        <w:pStyle w:val="Prrafodelista"/>
        <w:numPr>
          <w:ilvl w:val="0"/>
          <w:numId w:val="41"/>
        </w:numPr>
        <w:spacing w:after="120"/>
        <w:ind w:hanging="357"/>
        <w:jc w:val="both"/>
        <w:rPr>
          <w:rFonts w:ascii="Noto Sans Light" w:hAnsi="Noto Sans Light" w:cs="Noto Sans Light"/>
          <w:b/>
          <w:sz w:val="24"/>
          <w:szCs w:val="24"/>
        </w:rPr>
      </w:pPr>
      <w:r w:rsidRPr="00395C61">
        <w:rPr>
          <w:rFonts w:ascii="Noto Sans Light" w:hAnsi="Noto Sans Light" w:cs="Noto Sans Light"/>
          <w:b/>
          <w:sz w:val="24"/>
          <w:szCs w:val="24"/>
        </w:rPr>
        <w:t>Revelación Suficiente</w:t>
      </w: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Los estados y la información financiera deben mostrar amplia y claramente la situación financiera y los resultados del ente público.</w:t>
      </w:r>
    </w:p>
    <w:p w:rsidR="00217147" w:rsidRPr="007E26D4" w:rsidRDefault="00217147" w:rsidP="007E26D4">
      <w:pPr>
        <w:jc w:val="both"/>
        <w:rPr>
          <w:rFonts w:ascii="Noto Sans Light" w:hAnsi="Noto Sans Light" w:cs="Noto Sans Light"/>
          <w:sz w:val="24"/>
          <w:szCs w:val="24"/>
        </w:rPr>
      </w:pPr>
    </w:p>
    <w:p w:rsidR="007E26D4" w:rsidRPr="00395C61" w:rsidRDefault="007E26D4" w:rsidP="00395C61">
      <w:pPr>
        <w:pStyle w:val="Prrafodelista"/>
        <w:numPr>
          <w:ilvl w:val="0"/>
          <w:numId w:val="41"/>
        </w:numPr>
        <w:spacing w:after="120"/>
        <w:ind w:hanging="357"/>
        <w:jc w:val="both"/>
        <w:rPr>
          <w:rFonts w:ascii="Noto Sans Light" w:hAnsi="Noto Sans Light" w:cs="Noto Sans Light"/>
          <w:b/>
          <w:sz w:val="24"/>
          <w:szCs w:val="24"/>
        </w:rPr>
      </w:pPr>
      <w:r w:rsidRPr="00395C61">
        <w:rPr>
          <w:rFonts w:ascii="Noto Sans Light" w:hAnsi="Noto Sans Light" w:cs="Noto Sans Light"/>
          <w:b/>
          <w:sz w:val="24"/>
          <w:szCs w:val="24"/>
        </w:rPr>
        <w:t>Importancia Relativa</w:t>
      </w: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La información debe mostrar los aspectos importantes de la entidad que fueron reconocidos contablemente.</w:t>
      </w:r>
    </w:p>
    <w:p w:rsidR="00217147" w:rsidRPr="007E26D4" w:rsidRDefault="00217147" w:rsidP="007E26D4">
      <w:pPr>
        <w:jc w:val="both"/>
        <w:rPr>
          <w:rFonts w:ascii="Noto Sans Light" w:hAnsi="Noto Sans Light" w:cs="Noto Sans Light"/>
          <w:sz w:val="24"/>
          <w:szCs w:val="24"/>
        </w:rPr>
      </w:pPr>
    </w:p>
    <w:p w:rsidR="007E26D4" w:rsidRPr="00395C61" w:rsidRDefault="007E26D4" w:rsidP="00395C61">
      <w:pPr>
        <w:pStyle w:val="Prrafodelista"/>
        <w:numPr>
          <w:ilvl w:val="0"/>
          <w:numId w:val="41"/>
        </w:numPr>
        <w:spacing w:after="120"/>
        <w:ind w:hanging="357"/>
        <w:jc w:val="both"/>
        <w:rPr>
          <w:rFonts w:ascii="Noto Sans Light" w:hAnsi="Noto Sans Light" w:cs="Noto Sans Light"/>
          <w:b/>
          <w:sz w:val="24"/>
          <w:szCs w:val="24"/>
        </w:rPr>
      </w:pPr>
      <w:r w:rsidRPr="00395C61">
        <w:rPr>
          <w:rFonts w:ascii="Noto Sans Light" w:hAnsi="Noto Sans Light" w:cs="Noto Sans Light"/>
          <w:b/>
          <w:sz w:val="24"/>
          <w:szCs w:val="24"/>
        </w:rPr>
        <w:t>Registro e Integración Presupuestaria</w:t>
      </w:r>
    </w:p>
    <w:p w:rsidR="007E26D4" w:rsidRP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La información presupuestaria de los entes públicos se integra en la contabilidad, en los mismos términos en que se presentan en la Ley de Ingresos y en el Decreto del Presupuesto de Egresos, de acuerdo a la naturaleza económica que le corresponda.</w:t>
      </w: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El registro presupuestario del ingreso y del egreso en los entes públicos se debe reflejar en la contabilidad, considerando sus efectos patrimoniales y su vinculación con las etapas presupuestarias correspondientes.</w:t>
      </w:r>
    </w:p>
    <w:p w:rsidR="00217147" w:rsidRPr="007E26D4" w:rsidRDefault="00217147" w:rsidP="007E26D4">
      <w:pPr>
        <w:jc w:val="both"/>
        <w:rPr>
          <w:rFonts w:ascii="Noto Sans Light" w:hAnsi="Noto Sans Light" w:cs="Noto Sans Light"/>
          <w:sz w:val="24"/>
          <w:szCs w:val="24"/>
        </w:rPr>
      </w:pPr>
    </w:p>
    <w:p w:rsidR="007E26D4" w:rsidRPr="00395C61" w:rsidRDefault="007E26D4" w:rsidP="00395C61">
      <w:pPr>
        <w:pStyle w:val="Prrafodelista"/>
        <w:numPr>
          <w:ilvl w:val="0"/>
          <w:numId w:val="41"/>
        </w:numPr>
        <w:spacing w:after="120"/>
        <w:ind w:hanging="357"/>
        <w:jc w:val="both"/>
        <w:rPr>
          <w:rFonts w:ascii="Noto Sans Light" w:hAnsi="Noto Sans Light" w:cs="Noto Sans Light"/>
          <w:sz w:val="24"/>
          <w:szCs w:val="24"/>
        </w:rPr>
      </w:pPr>
      <w:r w:rsidRPr="00395C61">
        <w:rPr>
          <w:rFonts w:ascii="Noto Sans Light" w:hAnsi="Noto Sans Light" w:cs="Noto Sans Light"/>
          <w:b/>
          <w:sz w:val="24"/>
          <w:szCs w:val="24"/>
        </w:rPr>
        <w:t>Consolidación de la Información Financiera</w:t>
      </w: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Los estados financieros de los entes públicos deberán presentar de manera consolidada su situación financiera, los resultados de operación, el flujo de efectivo o los cambios en la situación financiera y las variaciones a la Hacienda Pública, como si se tratará de un solo ente público.</w:t>
      </w:r>
    </w:p>
    <w:p w:rsidR="00217147" w:rsidRPr="007E26D4" w:rsidRDefault="00217147" w:rsidP="007E26D4">
      <w:pPr>
        <w:jc w:val="both"/>
        <w:rPr>
          <w:rFonts w:ascii="Noto Sans Light" w:hAnsi="Noto Sans Light" w:cs="Noto Sans Light"/>
          <w:sz w:val="24"/>
          <w:szCs w:val="24"/>
        </w:rPr>
      </w:pPr>
    </w:p>
    <w:p w:rsidR="007E26D4" w:rsidRPr="00395C61" w:rsidRDefault="007E26D4" w:rsidP="00395C61">
      <w:pPr>
        <w:pStyle w:val="Prrafodelista"/>
        <w:numPr>
          <w:ilvl w:val="0"/>
          <w:numId w:val="41"/>
        </w:numPr>
        <w:spacing w:after="120"/>
        <w:ind w:hanging="357"/>
        <w:jc w:val="both"/>
        <w:rPr>
          <w:rFonts w:ascii="Noto Sans Light" w:hAnsi="Noto Sans Light" w:cs="Noto Sans Light"/>
          <w:b/>
          <w:sz w:val="24"/>
          <w:szCs w:val="24"/>
        </w:rPr>
      </w:pPr>
      <w:r w:rsidRPr="00395C61">
        <w:rPr>
          <w:rFonts w:ascii="Noto Sans Light" w:hAnsi="Noto Sans Light" w:cs="Noto Sans Light"/>
          <w:b/>
          <w:sz w:val="24"/>
          <w:szCs w:val="24"/>
        </w:rPr>
        <w:t>Devengo Contable</w:t>
      </w: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Los registros contables del ente público se llevarán con base acumulativa. El ingreso devengado, es el momento contable que se realiza cuando existe jurídicamente el derecho de cobro de impuestos, derechos, productos, aprovechamientos y otros ingresos por parte de los entes públicos. El gasto devengado, es el momento contable que refleja el reconocimiento de una obligación de pago a favor de terceros por la recepción de conformidad de bienes, servicios y obra pública contratados; así como de las obligaciones que derivan de tratados, leyes, decretos, resoluciones y sentencias definitivas.</w:t>
      </w:r>
    </w:p>
    <w:p w:rsidR="00217147" w:rsidRPr="007E26D4" w:rsidRDefault="00217147" w:rsidP="007E26D4">
      <w:pPr>
        <w:jc w:val="both"/>
        <w:rPr>
          <w:rFonts w:ascii="Noto Sans Light" w:hAnsi="Noto Sans Light" w:cs="Noto Sans Light"/>
          <w:sz w:val="24"/>
          <w:szCs w:val="24"/>
        </w:rPr>
      </w:pPr>
    </w:p>
    <w:p w:rsidR="007E26D4" w:rsidRPr="00395C61" w:rsidRDefault="007E26D4" w:rsidP="00395C61">
      <w:pPr>
        <w:pStyle w:val="Prrafodelista"/>
        <w:numPr>
          <w:ilvl w:val="0"/>
          <w:numId w:val="41"/>
        </w:numPr>
        <w:spacing w:after="120"/>
        <w:ind w:hanging="357"/>
        <w:jc w:val="both"/>
        <w:rPr>
          <w:rFonts w:ascii="Noto Sans Light" w:hAnsi="Noto Sans Light" w:cs="Noto Sans Light"/>
          <w:b/>
          <w:sz w:val="24"/>
          <w:szCs w:val="24"/>
        </w:rPr>
      </w:pPr>
      <w:r w:rsidRPr="00395C61">
        <w:rPr>
          <w:rFonts w:ascii="Noto Sans Light" w:hAnsi="Noto Sans Light" w:cs="Noto Sans Light"/>
          <w:b/>
          <w:sz w:val="24"/>
          <w:szCs w:val="24"/>
        </w:rPr>
        <w:t>Valuación</w:t>
      </w: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Todos los eventos que afecten económicamente al ente público deben ser cuantificados en términos monetarios y se registrarán al costo histórico o al valor económico más objetivo en moneda nacional.</w:t>
      </w:r>
    </w:p>
    <w:p w:rsidR="00217147" w:rsidRPr="007E26D4" w:rsidRDefault="00217147" w:rsidP="007E26D4">
      <w:pPr>
        <w:jc w:val="both"/>
        <w:rPr>
          <w:rFonts w:ascii="Noto Sans Light" w:hAnsi="Noto Sans Light" w:cs="Noto Sans Light"/>
          <w:sz w:val="24"/>
          <w:szCs w:val="24"/>
        </w:rPr>
      </w:pPr>
    </w:p>
    <w:p w:rsidR="007E26D4" w:rsidRPr="00395C61" w:rsidRDefault="007E26D4" w:rsidP="00395C61">
      <w:pPr>
        <w:pStyle w:val="Prrafodelista"/>
        <w:numPr>
          <w:ilvl w:val="0"/>
          <w:numId w:val="41"/>
        </w:numPr>
        <w:spacing w:after="120"/>
        <w:ind w:hanging="357"/>
        <w:jc w:val="both"/>
        <w:rPr>
          <w:rFonts w:ascii="Noto Sans Light" w:hAnsi="Noto Sans Light" w:cs="Noto Sans Light"/>
          <w:sz w:val="24"/>
          <w:szCs w:val="24"/>
        </w:rPr>
      </w:pPr>
      <w:r w:rsidRPr="00395C61">
        <w:rPr>
          <w:rFonts w:ascii="Noto Sans Light" w:hAnsi="Noto Sans Light" w:cs="Noto Sans Light"/>
          <w:b/>
          <w:sz w:val="24"/>
          <w:szCs w:val="24"/>
        </w:rPr>
        <w:t>Dualidad Económica</w:t>
      </w:r>
    </w:p>
    <w:p w:rsidR="007E26D4" w:rsidRP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El ente público debe reconocer en la contabilidad, la representación de las transacciones y algún otro evento que afecte su situación financiera, su composición por los recursos asignados para el logro de sus fines y por sus fuentes, conforme a los derechos y obligaciones.</w:t>
      </w:r>
    </w:p>
    <w:p w:rsidR="007E26D4" w:rsidRPr="007E26D4" w:rsidRDefault="007E26D4" w:rsidP="007E26D4">
      <w:pPr>
        <w:jc w:val="both"/>
        <w:rPr>
          <w:rFonts w:ascii="Noto Sans Light" w:hAnsi="Noto Sans Light" w:cs="Noto Sans Light"/>
          <w:sz w:val="24"/>
          <w:szCs w:val="24"/>
        </w:rPr>
      </w:pPr>
    </w:p>
    <w:p w:rsidR="007E26D4" w:rsidRPr="00395C61" w:rsidRDefault="007E26D4" w:rsidP="00395C61">
      <w:pPr>
        <w:pStyle w:val="Prrafodelista"/>
        <w:numPr>
          <w:ilvl w:val="0"/>
          <w:numId w:val="41"/>
        </w:numPr>
        <w:spacing w:after="120"/>
        <w:ind w:hanging="357"/>
        <w:jc w:val="both"/>
        <w:rPr>
          <w:rFonts w:ascii="Noto Sans Light" w:hAnsi="Noto Sans Light" w:cs="Noto Sans Light"/>
          <w:b/>
          <w:sz w:val="24"/>
          <w:szCs w:val="24"/>
        </w:rPr>
      </w:pPr>
      <w:r w:rsidRPr="00395C61">
        <w:rPr>
          <w:rFonts w:ascii="Noto Sans Light" w:hAnsi="Noto Sans Light" w:cs="Noto Sans Light"/>
          <w:b/>
          <w:sz w:val="24"/>
          <w:szCs w:val="24"/>
        </w:rPr>
        <w:t>Consistencia</w:t>
      </w: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 xml:space="preserve">Ante la existencia de operaciones similares en el ente público, debe corresponder un mismo tratamiento contable, el cual debe permanecer a través del tiempo, en tanto no cambie la esencia económica de las operaciones. </w:t>
      </w:r>
    </w:p>
    <w:p w:rsidR="00217147" w:rsidRPr="007E26D4" w:rsidRDefault="00217147" w:rsidP="007E26D4">
      <w:pPr>
        <w:jc w:val="both"/>
        <w:rPr>
          <w:rFonts w:ascii="Noto Sans Light" w:hAnsi="Noto Sans Light" w:cs="Noto Sans Light"/>
          <w:sz w:val="24"/>
          <w:szCs w:val="24"/>
        </w:rPr>
      </w:pPr>
    </w:p>
    <w:p w:rsidR="007E26D4" w:rsidRDefault="007E26D4" w:rsidP="007E26D4">
      <w:pPr>
        <w:jc w:val="both"/>
        <w:rPr>
          <w:rFonts w:ascii="Noto Sans" w:hAnsi="Noto Sans" w:cs="Noto Sans"/>
          <w:b/>
          <w:color w:val="621333"/>
          <w:sz w:val="28"/>
          <w:szCs w:val="28"/>
        </w:rPr>
      </w:pPr>
      <w:r w:rsidRPr="0024145E">
        <w:rPr>
          <w:rFonts w:ascii="Noto Sans" w:hAnsi="Noto Sans" w:cs="Noto Sans"/>
          <w:b/>
          <w:color w:val="621333"/>
          <w:sz w:val="28"/>
          <w:szCs w:val="28"/>
        </w:rPr>
        <w:t>B.10 CARACTERÍSTICAS TÉCNICAS DEL SISTEMA DE CONTABILIDAD GUBERNAMENTAL. (RAMO 12 – SALUD)</w:t>
      </w:r>
    </w:p>
    <w:p w:rsidR="00046484" w:rsidRPr="0024145E" w:rsidRDefault="00046484" w:rsidP="007E26D4">
      <w:pPr>
        <w:jc w:val="both"/>
        <w:rPr>
          <w:rFonts w:ascii="Noto Sans" w:hAnsi="Noto Sans" w:cs="Noto Sans"/>
          <w:b/>
          <w:color w:val="621333"/>
          <w:sz w:val="28"/>
          <w:szCs w:val="28"/>
        </w:rPr>
      </w:pPr>
    </w:p>
    <w:p w:rsidR="007E26D4" w:rsidRDefault="007E26D4" w:rsidP="007E26D4">
      <w:pPr>
        <w:jc w:val="both"/>
        <w:rPr>
          <w:rFonts w:ascii="Noto Sans Light" w:hAnsi="Noto Sans Light" w:cs="Noto Sans Light"/>
          <w:sz w:val="24"/>
          <w:szCs w:val="24"/>
        </w:rPr>
      </w:pPr>
      <w:r w:rsidRPr="007E26D4">
        <w:rPr>
          <w:rFonts w:ascii="Noto Sans Light" w:hAnsi="Noto Sans Light" w:cs="Noto Sans Light"/>
          <w:sz w:val="24"/>
          <w:szCs w:val="24"/>
        </w:rPr>
        <w:t xml:space="preserve">El contexto legal, conceptual y técnico del Sistema de Contabilidad Gubernamental establecido por la LGCG y las normas aprobadas por el CONAC que refieren a los objetivos y alcances del sistema, así como el MCCG y los PBCG en el que debe encuadrar, determinan que el mismo debe responder a ciertas características de diseño y operación, entre las </w:t>
      </w:r>
      <w:r w:rsidR="008C6944">
        <w:rPr>
          <w:rFonts w:ascii="Noto Sans Light" w:hAnsi="Noto Sans Light" w:cs="Noto Sans Light"/>
          <w:sz w:val="24"/>
          <w:szCs w:val="24"/>
        </w:rPr>
        <w:t>que se destacan las siguientes:</w:t>
      </w:r>
    </w:p>
    <w:p w:rsidR="008C6944" w:rsidRPr="007E26D4" w:rsidRDefault="008C6944" w:rsidP="007E26D4">
      <w:pPr>
        <w:jc w:val="both"/>
        <w:rPr>
          <w:rFonts w:ascii="Noto Sans Light" w:hAnsi="Noto Sans Light" w:cs="Noto Sans Light"/>
          <w:sz w:val="24"/>
          <w:szCs w:val="24"/>
        </w:rPr>
      </w:pPr>
    </w:p>
    <w:p w:rsidR="007E26D4" w:rsidRPr="008C6944" w:rsidRDefault="007E26D4" w:rsidP="008C6944">
      <w:pPr>
        <w:pStyle w:val="Prrafodelista"/>
        <w:numPr>
          <w:ilvl w:val="2"/>
          <w:numId w:val="43"/>
        </w:numPr>
        <w:jc w:val="both"/>
        <w:rPr>
          <w:rFonts w:ascii="Noto Sans Light" w:hAnsi="Noto Sans Light" w:cs="Noto Sans Light"/>
          <w:sz w:val="24"/>
          <w:szCs w:val="24"/>
        </w:rPr>
      </w:pPr>
      <w:r w:rsidRPr="008C6944">
        <w:rPr>
          <w:rFonts w:ascii="Noto Sans Light" w:hAnsi="Noto Sans Light" w:cs="Noto Sans Light"/>
          <w:sz w:val="24"/>
          <w:szCs w:val="24"/>
        </w:rPr>
        <w:t>Ser único, uniforme e integrador;</w:t>
      </w:r>
    </w:p>
    <w:p w:rsidR="007E26D4" w:rsidRPr="008C6944" w:rsidRDefault="007E26D4" w:rsidP="008C6944">
      <w:pPr>
        <w:pStyle w:val="Prrafodelista"/>
        <w:numPr>
          <w:ilvl w:val="2"/>
          <w:numId w:val="43"/>
        </w:numPr>
        <w:jc w:val="both"/>
        <w:rPr>
          <w:rFonts w:ascii="Noto Sans Light" w:hAnsi="Noto Sans Light" w:cs="Noto Sans Light"/>
          <w:sz w:val="24"/>
          <w:szCs w:val="24"/>
        </w:rPr>
      </w:pPr>
      <w:r w:rsidRPr="008C6944">
        <w:rPr>
          <w:rFonts w:ascii="Noto Sans Light" w:hAnsi="Noto Sans Light" w:cs="Noto Sans Light"/>
          <w:sz w:val="24"/>
          <w:szCs w:val="24"/>
        </w:rPr>
        <w:t>Integrar en forma automática la operación contable con los presupuestos públicos de acuerdo con lo siguiente;</w:t>
      </w:r>
    </w:p>
    <w:p w:rsidR="007E26D4" w:rsidRPr="008C6944" w:rsidRDefault="007E26D4" w:rsidP="008C6944">
      <w:pPr>
        <w:pStyle w:val="Prrafodelista"/>
        <w:numPr>
          <w:ilvl w:val="0"/>
          <w:numId w:val="45"/>
        </w:numPr>
        <w:jc w:val="both"/>
        <w:rPr>
          <w:rFonts w:ascii="Noto Sans Light" w:hAnsi="Noto Sans Light" w:cs="Noto Sans Light"/>
          <w:sz w:val="24"/>
          <w:szCs w:val="24"/>
        </w:rPr>
      </w:pPr>
      <w:r w:rsidRPr="008C6944">
        <w:rPr>
          <w:rFonts w:ascii="Noto Sans Light" w:hAnsi="Noto Sans Light" w:cs="Noto Sans Light"/>
          <w:sz w:val="24"/>
          <w:szCs w:val="24"/>
        </w:rPr>
        <w:t>En lo relativo al gasto, el aprobado, modificado, comprometido, devengado, ejercido y pagado.</w:t>
      </w:r>
    </w:p>
    <w:p w:rsidR="007E26D4" w:rsidRPr="008C6944" w:rsidRDefault="007E26D4" w:rsidP="008C6944">
      <w:pPr>
        <w:pStyle w:val="Prrafodelista"/>
        <w:numPr>
          <w:ilvl w:val="0"/>
          <w:numId w:val="45"/>
        </w:numPr>
        <w:jc w:val="both"/>
        <w:rPr>
          <w:rFonts w:ascii="Noto Sans Light" w:hAnsi="Noto Sans Light" w:cs="Noto Sans Light"/>
          <w:sz w:val="24"/>
          <w:szCs w:val="24"/>
        </w:rPr>
      </w:pPr>
      <w:r w:rsidRPr="008C6944">
        <w:rPr>
          <w:rFonts w:ascii="Noto Sans Light" w:hAnsi="Noto Sans Light" w:cs="Noto Sans Light"/>
          <w:sz w:val="24"/>
          <w:szCs w:val="24"/>
        </w:rPr>
        <w:t>En lo relativo al ingreso, estimado, modificado, devengado y recaudado.</w:t>
      </w:r>
    </w:p>
    <w:p w:rsidR="007E26D4" w:rsidRPr="008C6944" w:rsidRDefault="007E26D4" w:rsidP="008C6944">
      <w:pPr>
        <w:pStyle w:val="Prrafodelista"/>
        <w:numPr>
          <w:ilvl w:val="2"/>
          <w:numId w:val="43"/>
        </w:numPr>
        <w:jc w:val="both"/>
        <w:rPr>
          <w:rFonts w:ascii="Noto Sans Light" w:hAnsi="Noto Sans Light" w:cs="Noto Sans Light"/>
          <w:sz w:val="24"/>
          <w:szCs w:val="24"/>
        </w:rPr>
      </w:pPr>
      <w:r w:rsidRPr="008C6944">
        <w:rPr>
          <w:rFonts w:ascii="Noto Sans Light" w:hAnsi="Noto Sans Light" w:cs="Noto Sans Light"/>
          <w:sz w:val="24"/>
          <w:szCs w:val="24"/>
        </w:rPr>
        <w:t>Efectuar los registros considerando la base acumulativa (devengado) de las transacciones;</w:t>
      </w:r>
    </w:p>
    <w:p w:rsidR="007E26D4" w:rsidRPr="008C6944" w:rsidRDefault="007E26D4" w:rsidP="008C6944">
      <w:pPr>
        <w:pStyle w:val="Prrafodelista"/>
        <w:numPr>
          <w:ilvl w:val="2"/>
          <w:numId w:val="43"/>
        </w:numPr>
        <w:jc w:val="both"/>
        <w:rPr>
          <w:rFonts w:ascii="Noto Sans Light" w:hAnsi="Noto Sans Light" w:cs="Noto Sans Light"/>
          <w:sz w:val="24"/>
          <w:szCs w:val="24"/>
        </w:rPr>
      </w:pPr>
      <w:r w:rsidRPr="008C6944">
        <w:rPr>
          <w:rFonts w:ascii="Noto Sans Light" w:hAnsi="Noto Sans Light" w:cs="Noto Sans Light"/>
          <w:sz w:val="24"/>
          <w:szCs w:val="24"/>
        </w:rPr>
        <w:t>Registrar las transacciones de manera automática y, por única vez, en los momentos contables correspondientes;</w:t>
      </w:r>
    </w:p>
    <w:p w:rsidR="007E26D4" w:rsidRPr="008C6944" w:rsidRDefault="007E26D4" w:rsidP="008C6944">
      <w:pPr>
        <w:pStyle w:val="Prrafodelista"/>
        <w:numPr>
          <w:ilvl w:val="2"/>
          <w:numId w:val="43"/>
        </w:numPr>
        <w:jc w:val="both"/>
        <w:rPr>
          <w:rFonts w:ascii="Noto Sans Light" w:hAnsi="Noto Sans Light" w:cs="Noto Sans Light"/>
          <w:sz w:val="24"/>
          <w:szCs w:val="24"/>
        </w:rPr>
      </w:pPr>
      <w:r w:rsidRPr="008C6944">
        <w:rPr>
          <w:rFonts w:ascii="Noto Sans Light" w:hAnsi="Noto Sans Light" w:cs="Noto Sans Light"/>
          <w:sz w:val="24"/>
          <w:szCs w:val="24"/>
        </w:rPr>
        <w:t>Permitir la integración automática entre los clasificadores presupuestarios y la lista de cuentas; y el catálogo de bienes;</w:t>
      </w:r>
    </w:p>
    <w:p w:rsidR="007E26D4" w:rsidRPr="008C6944" w:rsidRDefault="007E26D4" w:rsidP="00D11768">
      <w:pPr>
        <w:pStyle w:val="Prrafodelista"/>
        <w:numPr>
          <w:ilvl w:val="2"/>
          <w:numId w:val="43"/>
        </w:numPr>
        <w:jc w:val="both"/>
        <w:rPr>
          <w:rFonts w:ascii="Noto Sans Light" w:hAnsi="Noto Sans Light" w:cs="Noto Sans Light"/>
          <w:sz w:val="24"/>
          <w:szCs w:val="24"/>
        </w:rPr>
      </w:pPr>
      <w:r w:rsidRPr="008C6944">
        <w:rPr>
          <w:rFonts w:ascii="Noto Sans Light" w:hAnsi="Noto Sans Light" w:cs="Noto Sans Light"/>
          <w:sz w:val="24"/>
          <w:szCs w:val="24"/>
        </w:rPr>
        <w:t>Facilitar el registro y control de los inventarios de bienes muebles e inmuebles de los entes públicos;</w:t>
      </w:r>
    </w:p>
    <w:p w:rsidR="007E26D4" w:rsidRPr="008C6944" w:rsidRDefault="007E26D4" w:rsidP="00D11768">
      <w:pPr>
        <w:pStyle w:val="Prrafodelista"/>
        <w:numPr>
          <w:ilvl w:val="2"/>
          <w:numId w:val="43"/>
        </w:numPr>
        <w:ind w:left="1069"/>
        <w:jc w:val="both"/>
        <w:rPr>
          <w:rFonts w:ascii="Noto Sans Light" w:hAnsi="Noto Sans Light" w:cs="Noto Sans Light"/>
          <w:sz w:val="24"/>
          <w:szCs w:val="24"/>
        </w:rPr>
      </w:pPr>
      <w:r w:rsidRPr="008C6944">
        <w:rPr>
          <w:rFonts w:ascii="Noto Sans Light" w:hAnsi="Noto Sans Light" w:cs="Noto Sans Light"/>
          <w:sz w:val="24"/>
          <w:szCs w:val="24"/>
        </w:rPr>
        <w:t xml:space="preserve">Generar, en tiempo real, estados financieros, de ejecución presupuestaria, económica y otra información que coadyuve </w:t>
      </w:r>
      <w:r w:rsidR="00D11768">
        <w:rPr>
          <w:rFonts w:ascii="Noto Sans Light" w:hAnsi="Noto Sans Light" w:cs="Noto Sans Light"/>
          <w:sz w:val="24"/>
          <w:szCs w:val="24"/>
        </w:rPr>
        <w:t xml:space="preserve">     </w:t>
      </w:r>
      <w:r w:rsidRPr="008C6944">
        <w:rPr>
          <w:rFonts w:ascii="Noto Sans Light" w:hAnsi="Noto Sans Light" w:cs="Noto Sans Light"/>
          <w:sz w:val="24"/>
          <w:szCs w:val="24"/>
        </w:rPr>
        <w:t>a la toma de decisiones, transparencia, programación con base en resultados, evaluación y rendición de cuentas;</w:t>
      </w:r>
    </w:p>
    <w:p w:rsidR="007E26D4" w:rsidRPr="008C6944" w:rsidRDefault="007E26D4" w:rsidP="00D11768">
      <w:pPr>
        <w:pStyle w:val="Prrafodelista"/>
        <w:numPr>
          <w:ilvl w:val="2"/>
          <w:numId w:val="43"/>
        </w:numPr>
        <w:jc w:val="both"/>
        <w:rPr>
          <w:rFonts w:ascii="Noto Sans Light" w:hAnsi="Noto Sans Light" w:cs="Noto Sans Light"/>
          <w:sz w:val="24"/>
          <w:szCs w:val="24"/>
        </w:rPr>
      </w:pPr>
      <w:r w:rsidRPr="008C6944">
        <w:rPr>
          <w:rFonts w:ascii="Noto Sans Light" w:hAnsi="Noto Sans Light" w:cs="Noto Sans Light"/>
          <w:sz w:val="24"/>
          <w:szCs w:val="24"/>
        </w:rPr>
        <w:t>Estar estructurado de forma tal que permita el procesamiento y generación de estados financieros mediante el uso de las tecnologías de la información; y</w:t>
      </w:r>
    </w:p>
    <w:p w:rsidR="007E26D4" w:rsidRPr="008C6944" w:rsidRDefault="007E26D4" w:rsidP="00D11768">
      <w:pPr>
        <w:pStyle w:val="Prrafodelista"/>
        <w:numPr>
          <w:ilvl w:val="2"/>
          <w:numId w:val="43"/>
        </w:numPr>
        <w:jc w:val="both"/>
        <w:rPr>
          <w:rFonts w:ascii="Noto Sans Light" w:hAnsi="Noto Sans Light" w:cs="Noto Sans Light"/>
          <w:sz w:val="24"/>
          <w:szCs w:val="24"/>
        </w:rPr>
      </w:pPr>
      <w:r w:rsidRPr="008C6944">
        <w:rPr>
          <w:rFonts w:ascii="Noto Sans Light" w:hAnsi="Noto Sans Light" w:cs="Noto Sans Light"/>
          <w:sz w:val="24"/>
          <w:szCs w:val="24"/>
        </w:rPr>
        <w:t>Sustentar los registros que se efectúen de las operaciones contables y presupuestarias con la documentación</w:t>
      </w:r>
    </w:p>
    <w:sectPr w:rsidR="007E26D4" w:rsidRPr="008C6944" w:rsidSect="00624FE3">
      <w:headerReference w:type="default" r:id="rId7"/>
      <w:footerReference w:type="default" r:id="rId8"/>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4FE3" w:rsidRDefault="00624FE3" w:rsidP="00624FE3">
      <w:r>
        <w:separator/>
      </w:r>
    </w:p>
  </w:endnote>
  <w:endnote w:type="continuationSeparator" w:id="0">
    <w:p w:rsidR="00624FE3" w:rsidRDefault="00624FE3" w:rsidP="00624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Light">
    <w:panose1 w:val="020B0502040504020204"/>
    <w:charset w:val="00"/>
    <w:family w:val="swiss"/>
    <w:pitch w:val="variable"/>
    <w:sig w:usb0="E00002FF" w:usb1="4000201F" w:usb2="08000029"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Noto Sans">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7201031"/>
      <w:docPartObj>
        <w:docPartGallery w:val="Page Numbers (Bottom of Page)"/>
        <w:docPartUnique/>
      </w:docPartObj>
    </w:sdtPr>
    <w:sdtEndPr/>
    <w:sdtContent>
      <w:p w:rsidR="00624FE3" w:rsidRDefault="001545C8">
        <w:pPr>
          <w:pStyle w:val="Piedepgina"/>
          <w:jc w:val="right"/>
        </w:pPr>
        <w:r>
          <w:rPr>
            <w:noProof/>
            <w:lang w:eastAsia="es-MX"/>
          </w:rPr>
          <w:drawing>
            <wp:anchor distT="0" distB="0" distL="114300" distR="114300" simplePos="0" relativeHeight="251668480" behindDoc="1" locked="0" layoutInCell="1" allowOverlap="1" wp14:anchorId="61F2E272" wp14:editId="3DE62C3F">
              <wp:simplePos x="0" y="0"/>
              <wp:positionH relativeFrom="column">
                <wp:posOffset>0</wp:posOffset>
              </wp:positionH>
              <wp:positionV relativeFrom="paragraph">
                <wp:posOffset>-635</wp:posOffset>
              </wp:positionV>
              <wp:extent cx="1809750" cy="1015908"/>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8103" t="70609" r="63554" b="11084"/>
                      <a:stretch/>
                    </pic:blipFill>
                    <pic:spPr bwMode="auto">
                      <a:xfrm>
                        <a:off x="0" y="0"/>
                        <a:ext cx="1809750" cy="1015908"/>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4FE3">
          <w:fldChar w:fldCharType="begin"/>
        </w:r>
        <w:r w:rsidR="00624FE3">
          <w:instrText>PAGE   \* MERGEFORMAT</w:instrText>
        </w:r>
        <w:r w:rsidR="00624FE3">
          <w:fldChar w:fldCharType="separate"/>
        </w:r>
        <w:r w:rsidRPr="001545C8">
          <w:rPr>
            <w:noProof/>
            <w:lang w:val="es-ES"/>
          </w:rPr>
          <w:t>13</w:t>
        </w:r>
        <w:r w:rsidR="00624FE3">
          <w:fldChar w:fldCharType="end"/>
        </w:r>
      </w:p>
      <w:p w:rsidR="00624FE3" w:rsidRDefault="00624FE3">
        <w:pPr>
          <w:pStyle w:val="Piedepgina"/>
          <w:jc w:val="right"/>
        </w:pPr>
        <w:r>
          <w:rPr>
            <w:noProof/>
            <w:lang w:eastAsia="es-MX"/>
          </w:rPr>
          <mc:AlternateContent>
            <mc:Choice Requires="wps">
              <w:drawing>
                <wp:anchor distT="45720" distB="45720" distL="114300" distR="114300" simplePos="0" relativeHeight="251666432" behindDoc="0" locked="0" layoutInCell="1" allowOverlap="1">
                  <wp:simplePos x="0" y="0"/>
                  <wp:positionH relativeFrom="margin">
                    <wp:posOffset>3383280</wp:posOffset>
                  </wp:positionH>
                  <wp:positionV relativeFrom="paragraph">
                    <wp:posOffset>48734</wp:posOffset>
                  </wp:positionV>
                  <wp:extent cx="2360930" cy="1404620"/>
                  <wp:effectExtent l="0" t="0" r="0" b="5080"/>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noFill/>
                          <a:ln w="9525">
                            <a:noFill/>
                            <a:miter lim="800000"/>
                            <a:headEnd/>
                            <a:tailEnd/>
                          </a:ln>
                        </wps:spPr>
                        <wps:txbx>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66.4pt;margin-top:3.85pt;width:185.9pt;height:110.6pt;z-index:251666432;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" filled="f" stroked="f">
                  <v:textbox style="mso-fit-shape-to-text:t">
                    <w:txbxContent>
                      <w:p w:rsidR="00624FE3" w:rsidRPr="00624FE3" w:rsidRDefault="00624FE3" w:rsidP="00624FE3">
                        <w:pPr>
                          <w:jc w:val="center"/>
                          <w:rPr>
                            <w:rFonts w:ascii="Noto Sans Light" w:hAnsi="Noto Sans Light" w:cs="Noto Sans Light"/>
                            <w:sz w:val="18"/>
                          </w:rPr>
                        </w:pPr>
                        <w:r w:rsidRPr="00624FE3">
                          <w:rPr>
                            <w:rFonts w:ascii="Noto Sans Light" w:hAnsi="Noto Sans Light" w:cs="Noto Sans Light"/>
                            <w:sz w:val="18"/>
                          </w:rPr>
                          <w:t>Vigente a partir del 1 de enero de 2026</w:t>
                        </w:r>
                      </w:p>
                      <w:p w:rsidR="00624FE3" w:rsidRDefault="00624FE3" w:rsidP="00624FE3">
                        <w:pPr>
                          <w:jc w:val="center"/>
                          <w:rPr>
                            <w:rFonts w:ascii="Noto Sans Light" w:hAnsi="Noto Sans Light" w:cs="Noto Sans Light"/>
                            <w:sz w:val="18"/>
                          </w:rPr>
                        </w:pPr>
                        <w:r w:rsidRPr="00624FE3">
                          <w:rPr>
                            <w:rFonts w:ascii="Noto Sans Light" w:hAnsi="Noto Sans Light" w:cs="Noto Sans Light"/>
                            <w:sz w:val="18"/>
                          </w:rPr>
                          <w:t>Artículo 20 de la Ley General de Contabilidad Gubernamental</w:t>
                        </w:r>
                      </w:p>
                      <w:p w:rsidR="00624FE3" w:rsidRPr="00624FE3" w:rsidRDefault="00624FE3" w:rsidP="00624FE3">
                        <w:pPr>
                          <w:jc w:val="center"/>
                          <w:rPr>
                            <w:rFonts w:ascii="Noto Sans Light" w:hAnsi="Noto Sans Light" w:cs="Noto Sans Light"/>
                            <w:sz w:val="18"/>
                          </w:rPr>
                        </w:pPr>
                        <w:r>
                          <w:rPr>
                            <w:rFonts w:ascii="Noto Sans Light" w:hAnsi="Noto Sans Light" w:cs="Noto Sans Light"/>
                            <w:sz w:val="18"/>
                          </w:rPr>
                          <w:t>Dirección de Contabilidad y Rendición de Cuentas</w:t>
                        </w:r>
                      </w:p>
                    </w:txbxContent>
                  </v:textbox>
                  <w10:wrap type="square" anchorx="margin"/>
                </v:shape>
              </w:pict>
            </mc:Fallback>
          </mc:AlternateContent>
        </w:r>
      </w:p>
      <w:p w:rsidR="00624FE3" w:rsidRDefault="001545C8">
        <w:pPr>
          <w:pStyle w:val="Piedepgina"/>
          <w:jc w:val="right"/>
        </w:pPr>
      </w:p>
    </w:sdtContent>
  </w:sdt>
  <w:p w:rsidR="00624FE3" w:rsidRDefault="00624FE3">
    <w:pPr>
      <w:pStyle w:val="Piedepgina"/>
    </w:pPr>
    <w:r>
      <w:rPr>
        <w:noProof/>
        <w:lang w:eastAsia="es-MX"/>
      </w:rPr>
      <mc:AlternateContent>
        <mc:Choice Requires="wps">
          <w:drawing>
            <wp:anchor distT="0" distB="0" distL="114300" distR="114300" simplePos="0" relativeHeight="251664384" behindDoc="0" locked="0" layoutInCell="1" allowOverlap="1" wp14:anchorId="4A516135" wp14:editId="2F0B1D60">
              <wp:simplePos x="0" y="0"/>
              <wp:positionH relativeFrom="column">
                <wp:posOffset>1658203</wp:posOffset>
              </wp:positionH>
              <wp:positionV relativeFrom="paragraph">
                <wp:posOffset>347439</wp:posOffset>
              </wp:positionV>
              <wp:extent cx="7499445" cy="95269"/>
              <wp:effectExtent l="0" t="0" r="25400" b="19050"/>
              <wp:wrapNone/>
              <wp:docPr id="4" name="Rectángulo 4"/>
              <wp:cNvGraphicFramePr/>
              <a:graphic xmlns:a="http://schemas.openxmlformats.org/drawingml/2006/main">
                <a:graphicData uri="http://schemas.microsoft.com/office/word/2010/wordprocessingShape">
                  <wps:wsp>
                    <wps:cNvSpPr/>
                    <wps:spPr>
                      <a:xfrm>
                        <a:off x="0" y="0"/>
                        <a:ext cx="7499445" cy="95269"/>
                      </a:xfrm>
                      <a:prstGeom prst="rect">
                        <a:avLst/>
                      </a:prstGeom>
                      <a:solidFill>
                        <a:srgbClr val="621333"/>
                      </a:solidFill>
                      <a:ln>
                        <a:solidFill>
                          <a:srgbClr val="62133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9E82A" id="Rectángulo 4" o:spid="_x0000_s1026" style="position:absolute;margin-left:130.55pt;margin-top:27.35pt;width:590.5pt;height: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" fillcolor="#621333" strokecolor="#621333"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4FE3" w:rsidRDefault="00624FE3" w:rsidP="00624FE3">
      <w:r>
        <w:separator/>
      </w:r>
    </w:p>
  </w:footnote>
  <w:footnote w:type="continuationSeparator" w:id="0">
    <w:p w:rsidR="00624FE3" w:rsidRDefault="00624FE3" w:rsidP="00624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9F3" w:rsidRDefault="00C509F3">
    <w:pPr>
      <w:pStyle w:val="Encabezado"/>
    </w:pPr>
    <w:r>
      <w:rPr>
        <w:noProof/>
        <w:lang w:eastAsia="es-MX"/>
      </w:rPr>
      <w:drawing>
        <wp:anchor distT="0" distB="0" distL="0" distR="0" simplePos="0" relativeHeight="251659264" behindDoc="1" locked="0" layoutInCell="1" allowOverlap="1" wp14:anchorId="5EF3AF1A" wp14:editId="45916577">
          <wp:simplePos x="0" y="0"/>
          <wp:positionH relativeFrom="margin">
            <wp:align>center</wp:align>
          </wp:positionH>
          <wp:positionV relativeFrom="paragraph">
            <wp:posOffset>-380630</wp:posOffset>
          </wp:positionV>
          <wp:extent cx="9892030" cy="91440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rotWithShape="1">
                  <a:blip r:embed="rId1">
                    <a:extLst>
                      <a:ext uri="{28A0092B-C50C-407E-A947-70E740481C1C}">
                        <a14:useLocalDpi xmlns:a14="http://schemas.microsoft.com/office/drawing/2010/main" val="0"/>
                      </a:ext>
                    </a:extLst>
                  </a:blip>
                  <a:srcRect t="2705" b="82507"/>
                  <a:stretch/>
                </pic:blipFill>
                <pic:spPr bwMode="auto">
                  <a:xfrm>
                    <a:off x="0" y="0"/>
                    <a:ext cx="9892030" cy="9144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09F3" w:rsidRDefault="00C509F3">
    <w:pPr>
      <w:pStyle w:val="Encabezado"/>
    </w:pPr>
  </w:p>
  <w:p w:rsidR="00624FE3" w:rsidRDefault="00624FE3">
    <w:pPr>
      <w:pStyle w:val="Encabezado"/>
    </w:pPr>
    <w:r>
      <w:rPr>
        <w:noProof/>
        <w:lang w:eastAsia="es-MX"/>
      </w:rPr>
      <mc:AlternateContent>
        <mc:Choice Requires="wps">
          <w:drawing>
            <wp:anchor distT="45720" distB="45720" distL="114300" distR="114300" simplePos="0" relativeHeight="251661312" behindDoc="0" locked="0" layoutInCell="1" allowOverlap="1">
              <wp:simplePos x="0" y="0"/>
              <wp:positionH relativeFrom="column">
                <wp:posOffset>3637100</wp:posOffset>
              </wp:positionH>
              <wp:positionV relativeFrom="paragraph">
                <wp:posOffset>-333366</wp:posOffset>
              </wp:positionV>
              <wp:extent cx="4135120" cy="1404620"/>
              <wp:effectExtent l="0" t="0" r="0" b="254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35120" cy="1404620"/>
                      </a:xfrm>
                      <a:prstGeom prst="rect">
                        <a:avLst/>
                      </a:prstGeom>
                      <a:solidFill>
                        <a:srgbClr val="FFFFFF"/>
                      </a:solidFill>
                      <a:ln w="9525">
                        <a:noFill/>
                        <a:miter lim="800000"/>
                        <a:headEnd/>
                        <a:tailEnd/>
                      </a:ln>
                    </wps:spPr>
                    <wps:txbx>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86.4pt;margin-top:-26.25pt;width:325.6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" stroked="f">
              <v:textbox style="mso-fit-shape-to-text:t">
                <w:txbxContent>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Unidad de Administración y Finanza</w:t>
                    </w:r>
                  </w:p>
                  <w:p w:rsidR="00624FE3" w:rsidRPr="00C509F3" w:rsidRDefault="00624FE3" w:rsidP="00624FE3">
                    <w:pPr>
                      <w:jc w:val="right"/>
                      <w:rPr>
                        <w:rFonts w:ascii="Noto Sans Light" w:hAnsi="Noto Sans Light" w:cs="Noto Sans Light"/>
                        <w:sz w:val="20"/>
                      </w:rPr>
                    </w:pPr>
                    <w:r w:rsidRPr="00C509F3">
                      <w:rPr>
                        <w:rFonts w:ascii="Noto Sans Light" w:hAnsi="Noto Sans Light" w:cs="Noto Sans Light"/>
                        <w:sz w:val="20"/>
                      </w:rPr>
                      <w:t>Dirección General de Programación y Presupuesto</w:t>
                    </w:r>
                  </w:p>
                </w:txbxContent>
              </v:textbox>
              <w10:wrap type="square"/>
            </v:shape>
          </w:pict>
        </mc:Fallback>
      </mc:AlternateContent>
    </w:r>
  </w:p>
  <w:p w:rsidR="00C509F3" w:rsidRPr="00C509F3" w:rsidRDefault="00C509F3" w:rsidP="00C509F3">
    <w:pPr>
      <w:pBdr>
        <w:top w:val="single" w:sz="4" w:space="1" w:color="auto"/>
        <w:left w:val="single" w:sz="4" w:space="4" w:color="auto"/>
        <w:bottom w:val="single" w:sz="4" w:space="1" w:color="auto"/>
        <w:right w:val="single" w:sz="4" w:space="4" w:color="auto"/>
      </w:pBdr>
      <w:shd w:val="clear" w:color="auto" w:fill="621333"/>
      <w:jc w:val="center"/>
      <w:rPr>
        <w:rFonts w:ascii="Noto Sans Light" w:hAnsi="Noto Sans Light" w:cs="Noto Sans Light"/>
        <w:b/>
        <w:color w:val="FFFFFF" w:themeColor="background1"/>
        <w:szCs w:val="28"/>
      </w:rPr>
    </w:pPr>
    <w:r w:rsidRPr="00C509F3">
      <w:rPr>
        <w:rFonts w:ascii="Noto Sans Light" w:hAnsi="Noto Sans Light" w:cs="Noto Sans Light"/>
        <w:b/>
        <w:color w:val="FFFFFF" w:themeColor="background1"/>
        <w:szCs w:val="28"/>
      </w:rPr>
      <w:t>MANUAL DE CONTABILIDAD GUBERNAMENTAL PARA LAS ENTIDADES PARAESTATALES SECTORIZADAS AL RAMO 12 - SALUD</w:t>
    </w:r>
  </w:p>
  <w:p w:rsidR="00624FE3" w:rsidRPr="00C509F3" w:rsidRDefault="00624FE3">
    <w:pPr>
      <w:pStyle w:val="Encabezado"/>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544"/>
    <w:multiLevelType w:val="hybridMultilevel"/>
    <w:tmpl w:val="F162E3CC"/>
    <w:lvl w:ilvl="0" w:tplc="DE004D1E">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71D3F"/>
    <w:multiLevelType w:val="hybridMultilevel"/>
    <w:tmpl w:val="442EEEF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253522E"/>
    <w:multiLevelType w:val="hybridMultilevel"/>
    <w:tmpl w:val="D216545E"/>
    <w:lvl w:ilvl="0" w:tplc="E1948C9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34107E8"/>
    <w:multiLevelType w:val="hybridMultilevel"/>
    <w:tmpl w:val="03BA5EB4"/>
    <w:lvl w:ilvl="0" w:tplc="080A0009">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 w15:restartNumberingAfterBreak="0">
    <w:nsid w:val="04F008C6"/>
    <w:multiLevelType w:val="hybridMultilevel"/>
    <w:tmpl w:val="8F621862"/>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5537BD4"/>
    <w:multiLevelType w:val="hybridMultilevel"/>
    <w:tmpl w:val="8632B7B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99F457A"/>
    <w:multiLevelType w:val="hybridMultilevel"/>
    <w:tmpl w:val="4502DD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99F5836"/>
    <w:multiLevelType w:val="hybridMultilevel"/>
    <w:tmpl w:val="7F2ACD5E"/>
    <w:lvl w:ilvl="0" w:tplc="9FFE77A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0BCD6120"/>
    <w:multiLevelType w:val="hybridMultilevel"/>
    <w:tmpl w:val="AC469702"/>
    <w:lvl w:ilvl="0" w:tplc="080A0017">
      <w:start w:val="1"/>
      <w:numFmt w:val="lowerLetter"/>
      <w:lvlText w:val="%1)"/>
      <w:lvlJc w:val="left"/>
      <w:pPr>
        <w:ind w:left="720" w:hanging="360"/>
      </w:pPr>
    </w:lvl>
    <w:lvl w:ilvl="1" w:tplc="A44A4826">
      <w:start w:val="1"/>
      <w:numFmt w:val="bullet"/>
      <w:lvlText w:val="•"/>
      <w:lvlJc w:val="left"/>
      <w:pPr>
        <w:ind w:left="1785" w:hanging="705"/>
      </w:pPr>
      <w:rPr>
        <w:rFonts w:ascii="Noto Sans Light" w:eastAsia="Times New Roman" w:hAnsi="Noto Sans Light" w:cs="Noto Sans Light"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0ED2382C"/>
    <w:multiLevelType w:val="hybridMultilevel"/>
    <w:tmpl w:val="FAEA9464"/>
    <w:lvl w:ilvl="0" w:tplc="080A0013">
      <w:start w:val="1"/>
      <w:numFmt w:val="upperRoman"/>
      <w:lvlText w:val="%1."/>
      <w:lvlJc w:val="right"/>
      <w:pPr>
        <w:ind w:left="720" w:hanging="360"/>
      </w:pPr>
    </w:lvl>
    <w:lvl w:ilvl="1" w:tplc="080A0013">
      <w:start w:val="1"/>
      <w:numFmt w:val="upperRoman"/>
      <w:lvlText w:val="%2."/>
      <w:lvlJc w:val="right"/>
      <w:pPr>
        <w:ind w:left="1440" w:hanging="360"/>
      </w:pPr>
    </w:lvl>
    <w:lvl w:ilvl="2" w:tplc="4288ED2E">
      <w:start w:val="1"/>
      <w:numFmt w:val="lowerLetter"/>
      <w:lvlText w:val="%3)"/>
      <w:lvlJc w:val="left"/>
      <w:pPr>
        <w:ind w:left="2685" w:hanging="705"/>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10A587A"/>
    <w:multiLevelType w:val="hybridMultilevel"/>
    <w:tmpl w:val="5B100DC2"/>
    <w:lvl w:ilvl="0" w:tplc="2850CAD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22C4A64"/>
    <w:multiLevelType w:val="hybridMultilevel"/>
    <w:tmpl w:val="618EE4D6"/>
    <w:lvl w:ilvl="0" w:tplc="6B3AEDF4">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2EF0AF0"/>
    <w:multiLevelType w:val="hybridMultilevel"/>
    <w:tmpl w:val="B3AA2CAE"/>
    <w:lvl w:ilvl="0" w:tplc="080A0009">
      <w:start w:val="1"/>
      <w:numFmt w:val="bullet"/>
      <w:lvlText w:val=""/>
      <w:lvlJc w:val="left"/>
      <w:pPr>
        <w:ind w:left="720" w:hanging="360"/>
      </w:pPr>
      <w:rPr>
        <w:rFonts w:ascii="Wingdings" w:hAnsi="Wingdings" w:hint="default"/>
      </w:rPr>
    </w:lvl>
    <w:lvl w:ilvl="1" w:tplc="080A0009">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13D4512D"/>
    <w:multiLevelType w:val="hybridMultilevel"/>
    <w:tmpl w:val="0A1AE736"/>
    <w:lvl w:ilvl="0" w:tplc="080A0009">
      <w:start w:val="1"/>
      <w:numFmt w:val="bullet"/>
      <w:lvlText w:val=""/>
      <w:lvlJc w:val="left"/>
      <w:pPr>
        <w:ind w:left="1494" w:hanging="360"/>
      </w:pPr>
      <w:rPr>
        <w:rFonts w:ascii="Wingdings" w:hAnsi="Wingdings" w:hint="default"/>
      </w:rPr>
    </w:lvl>
    <w:lvl w:ilvl="1" w:tplc="080A0003">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14" w15:restartNumberingAfterBreak="0">
    <w:nsid w:val="1A295246"/>
    <w:multiLevelType w:val="hybridMultilevel"/>
    <w:tmpl w:val="093A781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B6B0042"/>
    <w:multiLevelType w:val="hybridMultilevel"/>
    <w:tmpl w:val="012687AA"/>
    <w:lvl w:ilvl="0" w:tplc="080A0005">
      <w:start w:val="1"/>
      <w:numFmt w:val="bullet"/>
      <w:lvlText w:val=""/>
      <w:lvlJc w:val="left"/>
      <w:pPr>
        <w:ind w:left="1697" w:hanging="705"/>
      </w:pPr>
      <w:rPr>
        <w:rFonts w:ascii="Wingdings" w:hAnsi="Wingdings" w:hint="default"/>
      </w:rPr>
    </w:lvl>
    <w:lvl w:ilvl="1" w:tplc="080A0005">
      <w:start w:val="1"/>
      <w:numFmt w:val="bullet"/>
      <w:lvlText w:val=""/>
      <w:lvlJc w:val="left"/>
      <w:pPr>
        <w:ind w:left="1697" w:hanging="705"/>
      </w:pPr>
      <w:rPr>
        <w:rFonts w:ascii="Wingdings" w:hAnsi="Wingdings"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16" w15:restartNumberingAfterBreak="0">
    <w:nsid w:val="1C37310A"/>
    <w:multiLevelType w:val="hybridMultilevel"/>
    <w:tmpl w:val="82822396"/>
    <w:lvl w:ilvl="0" w:tplc="080A0009">
      <w:start w:val="1"/>
      <w:numFmt w:val="bullet"/>
      <w:lvlText w:val=""/>
      <w:lvlJc w:val="left"/>
      <w:pPr>
        <w:ind w:left="720" w:hanging="360"/>
      </w:pPr>
      <w:rPr>
        <w:rFonts w:ascii="Wingdings" w:hAnsi="Wingdings" w:hint="default"/>
      </w:rPr>
    </w:lvl>
    <w:lvl w:ilvl="1" w:tplc="080A0009">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20255768"/>
    <w:multiLevelType w:val="hybridMultilevel"/>
    <w:tmpl w:val="CF94DD76"/>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27B0A2F"/>
    <w:multiLevelType w:val="hybridMultilevel"/>
    <w:tmpl w:val="D9B489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2A70EB5"/>
    <w:multiLevelType w:val="hybridMultilevel"/>
    <w:tmpl w:val="E2322266"/>
    <w:lvl w:ilvl="0" w:tplc="080A0005">
      <w:start w:val="1"/>
      <w:numFmt w:val="bullet"/>
      <w:lvlText w:val=""/>
      <w:lvlJc w:val="left"/>
      <w:pPr>
        <w:ind w:left="1352" w:hanging="360"/>
      </w:pPr>
      <w:rPr>
        <w:rFonts w:ascii="Wingdings" w:hAnsi="Wingdings"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20" w15:restartNumberingAfterBreak="0">
    <w:nsid w:val="25F02701"/>
    <w:multiLevelType w:val="hybridMultilevel"/>
    <w:tmpl w:val="2FE27902"/>
    <w:lvl w:ilvl="0" w:tplc="080A0009">
      <w:start w:val="1"/>
      <w:numFmt w:val="bullet"/>
      <w:lvlText w:val=""/>
      <w:lvlJc w:val="left"/>
      <w:pPr>
        <w:ind w:left="720" w:hanging="360"/>
      </w:pPr>
      <w:rPr>
        <w:rFonts w:ascii="Wingdings" w:hAnsi="Wingdings" w:hint="default"/>
      </w:rPr>
    </w:lvl>
    <w:lvl w:ilvl="1" w:tplc="080A0009">
      <w:start w:val="1"/>
      <w:numFmt w:val="bullet"/>
      <w:lvlText w:val=""/>
      <w:lvlJc w:val="left"/>
      <w:pPr>
        <w:ind w:left="1440"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26C05CA8"/>
    <w:multiLevelType w:val="hybridMultilevel"/>
    <w:tmpl w:val="A058FA4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26C33956"/>
    <w:multiLevelType w:val="hybridMultilevel"/>
    <w:tmpl w:val="42A644AE"/>
    <w:lvl w:ilvl="0" w:tplc="A4C0C94E">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27BD4513"/>
    <w:multiLevelType w:val="hybridMultilevel"/>
    <w:tmpl w:val="F0CC6376"/>
    <w:lvl w:ilvl="0" w:tplc="56FEB212">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28BD088C"/>
    <w:multiLevelType w:val="hybridMultilevel"/>
    <w:tmpl w:val="5B5AE90C"/>
    <w:lvl w:ilvl="0" w:tplc="DE004D1E">
      <w:start w:val="2"/>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2B366388"/>
    <w:multiLevelType w:val="hybridMultilevel"/>
    <w:tmpl w:val="371C8FF0"/>
    <w:lvl w:ilvl="0" w:tplc="DE004D1E">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C2D01F3"/>
    <w:multiLevelType w:val="hybridMultilevel"/>
    <w:tmpl w:val="1E2A725A"/>
    <w:lvl w:ilvl="0" w:tplc="94BEAEB6">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2FA0585A"/>
    <w:multiLevelType w:val="hybridMultilevel"/>
    <w:tmpl w:val="09FC517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2FEF2A9B"/>
    <w:multiLevelType w:val="hybridMultilevel"/>
    <w:tmpl w:val="EA789F3C"/>
    <w:lvl w:ilvl="0" w:tplc="080A000F">
      <w:start w:val="1"/>
      <w:numFmt w:val="decimal"/>
      <w:lvlText w:val="%1."/>
      <w:lvlJc w:val="left"/>
      <w:pPr>
        <w:ind w:left="720" w:hanging="360"/>
      </w:pPr>
    </w:lvl>
    <w:lvl w:ilvl="1" w:tplc="080A000F">
      <w:start w:val="1"/>
      <w:numFmt w:val="decimal"/>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3FA368E"/>
    <w:multiLevelType w:val="hybridMultilevel"/>
    <w:tmpl w:val="5D947596"/>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39DC622D"/>
    <w:multiLevelType w:val="hybridMultilevel"/>
    <w:tmpl w:val="3306C7B6"/>
    <w:lvl w:ilvl="0" w:tplc="DE342FD4">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3A131C31"/>
    <w:multiLevelType w:val="hybridMultilevel"/>
    <w:tmpl w:val="EFECF452"/>
    <w:lvl w:ilvl="0" w:tplc="080A0005">
      <w:start w:val="1"/>
      <w:numFmt w:val="bullet"/>
      <w:lvlText w:val=""/>
      <w:lvlJc w:val="left"/>
      <w:pPr>
        <w:ind w:left="720" w:hanging="360"/>
      </w:pPr>
      <w:rPr>
        <w:rFonts w:ascii="Wingdings" w:hAnsi="Wingdings" w:hint="default"/>
      </w:rPr>
    </w:lvl>
    <w:lvl w:ilvl="1" w:tplc="080A0005">
      <w:start w:val="1"/>
      <w:numFmt w:val="bullet"/>
      <w:lvlText w:val=""/>
      <w:lvlJc w:val="left"/>
      <w:pPr>
        <w:ind w:left="1352" w:hanging="360"/>
      </w:pPr>
      <w:rPr>
        <w:rFonts w:ascii="Wingdings" w:hAnsi="Wingdings"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3A4D6358"/>
    <w:multiLevelType w:val="hybridMultilevel"/>
    <w:tmpl w:val="65723B16"/>
    <w:lvl w:ilvl="0" w:tplc="A3903B7C">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3BBC5F45"/>
    <w:multiLevelType w:val="hybridMultilevel"/>
    <w:tmpl w:val="D040B4A4"/>
    <w:lvl w:ilvl="0" w:tplc="080A0017">
      <w:start w:val="1"/>
      <w:numFmt w:val="lowerLetter"/>
      <w:lvlText w:val="%1)"/>
      <w:lvlJc w:val="left"/>
      <w:pPr>
        <w:ind w:left="720" w:hanging="360"/>
      </w:pPr>
    </w:lvl>
    <w:lvl w:ilvl="1" w:tplc="940E4DD0">
      <w:start w:val="1"/>
      <w:numFmt w:val="upp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400E1595"/>
    <w:multiLevelType w:val="hybridMultilevel"/>
    <w:tmpl w:val="662E8482"/>
    <w:lvl w:ilvl="0" w:tplc="080A0009">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0E558AA"/>
    <w:multiLevelType w:val="hybridMultilevel"/>
    <w:tmpl w:val="0076F06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7">
      <w:start w:val="1"/>
      <w:numFmt w:val="lowerLetter"/>
      <w:lvlText w:val="%3)"/>
      <w:lvlJc w:val="left"/>
      <w:pPr>
        <w:ind w:left="889"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460038F1"/>
    <w:multiLevelType w:val="hybridMultilevel"/>
    <w:tmpl w:val="542EFFBC"/>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49E05FB8"/>
    <w:multiLevelType w:val="hybridMultilevel"/>
    <w:tmpl w:val="5F0839B8"/>
    <w:lvl w:ilvl="0" w:tplc="DE004D1E">
      <w:start w:val="1"/>
      <w:numFmt w:val="bullet"/>
      <w:lvlText w:val="•"/>
      <w:lvlJc w:val="left"/>
      <w:pPr>
        <w:ind w:left="1065" w:hanging="705"/>
      </w:pPr>
      <w:rPr>
        <w:rFonts w:ascii="Noto Sans Light" w:eastAsia="Times New Roman" w:hAnsi="Noto Sans Light" w:cs="Noto Sans Light"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5484109B"/>
    <w:multiLevelType w:val="hybridMultilevel"/>
    <w:tmpl w:val="8C7050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7786561"/>
    <w:multiLevelType w:val="hybridMultilevel"/>
    <w:tmpl w:val="0C30E6D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589D48CC"/>
    <w:multiLevelType w:val="hybridMultilevel"/>
    <w:tmpl w:val="EC08AFA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09">
      <w:start w:val="1"/>
      <w:numFmt w:val="bullet"/>
      <w:lvlText w:val=""/>
      <w:lvlJc w:val="left"/>
      <w:pPr>
        <w:ind w:left="889" w:hanging="180"/>
      </w:pPr>
      <w:rPr>
        <w:rFonts w:ascii="Wingdings" w:hAnsi="Wingdings" w:hint="default"/>
      </w:r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5ACD29A0"/>
    <w:multiLevelType w:val="hybridMultilevel"/>
    <w:tmpl w:val="5E7657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5E6E7570"/>
    <w:multiLevelType w:val="hybridMultilevel"/>
    <w:tmpl w:val="F57409EC"/>
    <w:lvl w:ilvl="0" w:tplc="080A0005">
      <w:start w:val="1"/>
      <w:numFmt w:val="bullet"/>
      <w:lvlText w:val=""/>
      <w:lvlJc w:val="left"/>
      <w:pPr>
        <w:ind w:left="1697" w:hanging="705"/>
      </w:pPr>
      <w:rPr>
        <w:rFonts w:ascii="Wingdings" w:hAnsi="Wingdings" w:hint="default"/>
      </w:rPr>
    </w:lvl>
    <w:lvl w:ilvl="1" w:tplc="1CD4586C">
      <w:start w:val="2"/>
      <w:numFmt w:val="bullet"/>
      <w:lvlText w:val="•"/>
      <w:lvlJc w:val="left"/>
      <w:pPr>
        <w:ind w:left="2417" w:hanging="705"/>
      </w:pPr>
      <w:rPr>
        <w:rFonts w:ascii="Noto Sans Light" w:eastAsia="Times New Roman" w:hAnsi="Noto Sans Light" w:cs="Noto Sans Light"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43" w15:restartNumberingAfterBreak="0">
    <w:nsid w:val="5EAC26FE"/>
    <w:multiLevelType w:val="hybridMultilevel"/>
    <w:tmpl w:val="C71E75A4"/>
    <w:lvl w:ilvl="0" w:tplc="3DEAABA0">
      <w:start w:val="1"/>
      <w:numFmt w:val="lowerLetter"/>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600740FF"/>
    <w:multiLevelType w:val="hybridMultilevel"/>
    <w:tmpl w:val="6C0EAFC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7">
      <w:start w:val="1"/>
      <w:numFmt w:val="lowerLetter"/>
      <w:lvlText w:val="%3)"/>
      <w:lvlJc w:val="left"/>
      <w:pPr>
        <w:ind w:left="889" w:hanging="180"/>
      </w:pPr>
      <w:rPr>
        <w:rFonts w:hint="default"/>
      </w:r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67D34DA8"/>
    <w:multiLevelType w:val="hybridMultilevel"/>
    <w:tmpl w:val="BD4E052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67D932D2"/>
    <w:multiLevelType w:val="hybridMultilevel"/>
    <w:tmpl w:val="9F4A64A6"/>
    <w:lvl w:ilvl="0" w:tplc="080A0005">
      <w:start w:val="1"/>
      <w:numFmt w:val="bullet"/>
      <w:lvlText w:val=""/>
      <w:lvlJc w:val="left"/>
      <w:pPr>
        <w:ind w:left="1697" w:hanging="705"/>
      </w:pPr>
      <w:rPr>
        <w:rFonts w:ascii="Wingdings" w:hAnsi="Wingdings" w:hint="default"/>
      </w:rPr>
    </w:lvl>
    <w:lvl w:ilvl="1" w:tplc="080A0005">
      <w:start w:val="1"/>
      <w:numFmt w:val="bullet"/>
      <w:lvlText w:val=""/>
      <w:lvlJc w:val="left"/>
      <w:pPr>
        <w:ind w:left="1697" w:hanging="705"/>
      </w:pPr>
      <w:rPr>
        <w:rFonts w:ascii="Wingdings" w:hAnsi="Wingdings"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47" w15:restartNumberingAfterBreak="0">
    <w:nsid w:val="6CC93974"/>
    <w:multiLevelType w:val="hybridMultilevel"/>
    <w:tmpl w:val="CFF6B9B8"/>
    <w:lvl w:ilvl="0" w:tplc="080A0017">
      <w:start w:val="1"/>
      <w:numFmt w:val="lowerLetter"/>
      <w:lvlText w:val="%1)"/>
      <w:lvlJc w:val="left"/>
      <w:pPr>
        <w:ind w:left="720" w:hanging="360"/>
      </w:pPr>
    </w:lvl>
    <w:lvl w:ilvl="1" w:tplc="78F23F20">
      <w:start w:val="1"/>
      <w:numFmt w:val="decimal"/>
      <w:lvlText w:val="%2."/>
      <w:lvlJc w:val="left"/>
      <w:pPr>
        <w:ind w:left="1785" w:hanging="705"/>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6"/>
  </w:num>
  <w:num w:numId="2">
    <w:abstractNumId w:val="30"/>
  </w:num>
  <w:num w:numId="3">
    <w:abstractNumId w:val="19"/>
  </w:num>
  <w:num w:numId="4">
    <w:abstractNumId w:val="0"/>
  </w:num>
  <w:num w:numId="5">
    <w:abstractNumId w:val="27"/>
  </w:num>
  <w:num w:numId="6">
    <w:abstractNumId w:val="11"/>
  </w:num>
  <w:num w:numId="7">
    <w:abstractNumId w:val="25"/>
  </w:num>
  <w:num w:numId="8">
    <w:abstractNumId w:val="24"/>
  </w:num>
  <w:num w:numId="9">
    <w:abstractNumId w:val="42"/>
  </w:num>
  <w:num w:numId="10">
    <w:abstractNumId w:val="15"/>
  </w:num>
  <w:num w:numId="11">
    <w:abstractNumId w:val="41"/>
  </w:num>
  <w:num w:numId="12">
    <w:abstractNumId w:val="6"/>
  </w:num>
  <w:num w:numId="13">
    <w:abstractNumId w:val="31"/>
  </w:num>
  <w:num w:numId="14">
    <w:abstractNumId w:val="46"/>
  </w:num>
  <w:num w:numId="15">
    <w:abstractNumId w:val="45"/>
  </w:num>
  <w:num w:numId="16">
    <w:abstractNumId w:val="2"/>
  </w:num>
  <w:num w:numId="17">
    <w:abstractNumId w:val="38"/>
  </w:num>
  <w:num w:numId="18">
    <w:abstractNumId w:val="21"/>
  </w:num>
  <w:num w:numId="19">
    <w:abstractNumId w:val="32"/>
  </w:num>
  <w:num w:numId="20">
    <w:abstractNumId w:val="18"/>
  </w:num>
  <w:num w:numId="21">
    <w:abstractNumId w:val="22"/>
  </w:num>
  <w:num w:numId="22">
    <w:abstractNumId w:val="8"/>
  </w:num>
  <w:num w:numId="23">
    <w:abstractNumId w:val="43"/>
  </w:num>
  <w:num w:numId="24">
    <w:abstractNumId w:val="13"/>
  </w:num>
  <w:num w:numId="25">
    <w:abstractNumId w:val="37"/>
  </w:num>
  <w:num w:numId="26">
    <w:abstractNumId w:val="16"/>
  </w:num>
  <w:num w:numId="27">
    <w:abstractNumId w:val="17"/>
  </w:num>
  <w:num w:numId="28">
    <w:abstractNumId w:val="20"/>
  </w:num>
  <w:num w:numId="29">
    <w:abstractNumId w:val="33"/>
  </w:num>
  <w:num w:numId="30">
    <w:abstractNumId w:val="26"/>
  </w:num>
  <w:num w:numId="31">
    <w:abstractNumId w:val="5"/>
  </w:num>
  <w:num w:numId="32">
    <w:abstractNumId w:val="10"/>
  </w:num>
  <w:num w:numId="33">
    <w:abstractNumId w:val="4"/>
  </w:num>
  <w:num w:numId="34">
    <w:abstractNumId w:val="9"/>
  </w:num>
  <w:num w:numId="35">
    <w:abstractNumId w:val="14"/>
  </w:num>
  <w:num w:numId="36">
    <w:abstractNumId w:val="23"/>
  </w:num>
  <w:num w:numId="37">
    <w:abstractNumId w:val="47"/>
  </w:num>
  <w:num w:numId="38">
    <w:abstractNumId w:val="7"/>
  </w:num>
  <w:num w:numId="39">
    <w:abstractNumId w:val="34"/>
  </w:num>
  <w:num w:numId="40">
    <w:abstractNumId w:val="12"/>
  </w:num>
  <w:num w:numId="41">
    <w:abstractNumId w:val="28"/>
  </w:num>
  <w:num w:numId="42">
    <w:abstractNumId w:val="39"/>
  </w:num>
  <w:num w:numId="43">
    <w:abstractNumId w:val="35"/>
  </w:num>
  <w:num w:numId="44">
    <w:abstractNumId w:val="29"/>
  </w:num>
  <w:num w:numId="45">
    <w:abstractNumId w:val="3"/>
  </w:num>
  <w:num w:numId="46">
    <w:abstractNumId w:val="1"/>
  </w:num>
  <w:num w:numId="47">
    <w:abstractNumId w:val="40"/>
  </w:num>
  <w:num w:numId="48">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4FE3"/>
    <w:rsid w:val="00046484"/>
    <w:rsid w:val="00094D0E"/>
    <w:rsid w:val="001545C8"/>
    <w:rsid w:val="00217147"/>
    <w:rsid w:val="0024145E"/>
    <w:rsid w:val="002A20F1"/>
    <w:rsid w:val="00307EFB"/>
    <w:rsid w:val="00395C61"/>
    <w:rsid w:val="003F7C52"/>
    <w:rsid w:val="004E5C1B"/>
    <w:rsid w:val="00574AC2"/>
    <w:rsid w:val="00624FE3"/>
    <w:rsid w:val="007A7D1C"/>
    <w:rsid w:val="007E26D4"/>
    <w:rsid w:val="007F3CDC"/>
    <w:rsid w:val="00857C51"/>
    <w:rsid w:val="008C6944"/>
    <w:rsid w:val="008E4552"/>
    <w:rsid w:val="00A13B5C"/>
    <w:rsid w:val="00C509F3"/>
    <w:rsid w:val="00CD7B44"/>
    <w:rsid w:val="00D11768"/>
    <w:rsid w:val="00ED00B1"/>
    <w:rsid w:val="00ED1D2B"/>
    <w:rsid w:val="00EF239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6E54F6F2-B904-40A0-9525-B564B910C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9F3"/>
    <w:pPr>
      <w:spacing w:after="0" w:line="240" w:lineRule="auto"/>
    </w:pPr>
    <w:rPr>
      <w:rFonts w:ascii="Verdana" w:eastAsia="Times New Roman" w:hAnsi="Verdana" w:cs="Arial"/>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EncabezadoCar">
    <w:name w:val="Encabezado Car"/>
    <w:basedOn w:val="Fuentedeprrafopredeter"/>
    <w:link w:val="Encabezado"/>
    <w:uiPriority w:val="99"/>
    <w:rsid w:val="00624FE3"/>
  </w:style>
  <w:style w:type="paragraph" w:styleId="Piedepgina">
    <w:name w:val="footer"/>
    <w:basedOn w:val="Normal"/>
    <w:link w:val="PiedepginaCar"/>
    <w:uiPriority w:val="99"/>
    <w:unhideWhenUsed/>
    <w:rsid w:val="00624FE3"/>
    <w:pPr>
      <w:tabs>
        <w:tab w:val="center" w:pos="4419"/>
        <w:tab w:val="right" w:pos="8838"/>
      </w:tabs>
    </w:pPr>
    <w:rPr>
      <w:rFonts w:asciiTheme="minorHAnsi" w:eastAsiaTheme="minorHAnsi" w:hAnsiTheme="minorHAnsi" w:cstheme="minorBidi"/>
      <w:szCs w:val="22"/>
      <w:lang w:val="es-MX" w:eastAsia="en-US"/>
    </w:rPr>
  </w:style>
  <w:style w:type="character" w:customStyle="1" w:styleId="PiedepginaCar">
    <w:name w:val="Pie de página Car"/>
    <w:basedOn w:val="Fuentedeprrafopredeter"/>
    <w:link w:val="Piedepgina"/>
    <w:uiPriority w:val="99"/>
    <w:rsid w:val="00624FE3"/>
  </w:style>
  <w:style w:type="paragraph" w:styleId="Prrafodelista">
    <w:name w:val="List Paragraph"/>
    <w:basedOn w:val="Normal"/>
    <w:uiPriority w:val="34"/>
    <w:qFormat/>
    <w:rsid w:val="007F3C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13</Pages>
  <Words>3499</Words>
  <Characters>19247</Characters>
  <Application>Microsoft Office Word</Application>
  <DocSecurity>0</DocSecurity>
  <Lines>160</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Jenifer Carbajal Gómez</dc:creator>
  <cp:keywords/>
  <dc:description/>
  <cp:lastModifiedBy>Jenifer Carbajal Gómez</cp:lastModifiedBy>
  <cp:revision>15</cp:revision>
  <dcterms:created xsi:type="dcterms:W3CDTF">2025-12-02T20:27:00Z</dcterms:created>
  <dcterms:modified xsi:type="dcterms:W3CDTF">2026-01-06T23:37:00Z</dcterms:modified>
</cp:coreProperties>
</file>